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7.0.0 -->
  <w:body>
    <w:tbl>
      <w:tblPr>
        <w:tblpPr w:leftFromText="181" w:rightFromText="181" w:vertAnchor="page" w:horzAnchor="margin" w:tblpXSpec="center" w:tblpY="2275"/>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4678"/>
        <w:gridCol w:w="2551"/>
      </w:tblGrid>
      <w:tr w:rsidTr="00BF1CCE">
        <w:tblPrEx>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Pr>
        <w:tc>
          <w:tcPr>
            <w:tcW w:w="2835" w:type="dxa"/>
            <w:shd w:val="clear" w:color="auto" w:fill="BFBFBF"/>
            <w:vAlign w:val="center"/>
          </w:tcPr>
          <w:p w:rsidR="00284E95" w:rsidRPr="00D4431F" w:rsidP="00BF1CCE">
            <w:pPr>
              <w:spacing w:line="240" w:lineRule="auto"/>
              <w:jc w:val="center"/>
              <w:rPr>
                <w:rFonts w:cstheme="minorHAnsi"/>
                <w:b/>
                <w:bCs/>
              </w:rPr>
            </w:pPr>
            <w:bookmarkStart w:id="0" w:name="_Hlk75350991"/>
            <w:bookmarkEnd w:id="0"/>
            <w:r>
              <w:rPr>
                <w:rFonts w:cstheme="minorHAnsi"/>
                <w:b/>
                <w:bCs/>
              </w:rPr>
              <w:t>Report of</w:t>
            </w:r>
          </w:p>
        </w:tc>
        <w:tc>
          <w:tcPr>
            <w:tcW w:w="4678" w:type="dxa"/>
            <w:shd w:val="clear" w:color="auto" w:fill="BFBFBF"/>
          </w:tcPr>
          <w:p w:rsidR="00284E95" w:rsidP="00BF1CCE">
            <w:pPr>
              <w:spacing w:line="240" w:lineRule="auto"/>
              <w:jc w:val="center"/>
              <w:rPr>
                <w:rFonts w:cstheme="minorHAnsi"/>
                <w:b/>
                <w:bCs/>
              </w:rPr>
            </w:pPr>
            <w:r>
              <w:rPr>
                <w:rFonts w:cstheme="minorHAnsi"/>
                <w:b/>
                <w:bCs/>
              </w:rPr>
              <w:t>Meeting</w:t>
            </w:r>
          </w:p>
        </w:tc>
        <w:tc>
          <w:tcPr>
            <w:tcW w:w="2551" w:type="dxa"/>
            <w:shd w:val="clear" w:color="auto" w:fill="BFBFBF"/>
            <w:vAlign w:val="center"/>
          </w:tcPr>
          <w:p w:rsidR="00284E95" w:rsidRPr="00D4431F" w:rsidP="00BF1CCE">
            <w:pPr>
              <w:spacing w:line="240" w:lineRule="auto"/>
              <w:jc w:val="center"/>
              <w:rPr>
                <w:rFonts w:cstheme="minorHAnsi"/>
                <w:b/>
                <w:bCs/>
              </w:rPr>
            </w:pPr>
            <w:r>
              <w:rPr>
                <w:rFonts w:cstheme="minorHAnsi"/>
                <w:b/>
                <w:bCs/>
              </w:rPr>
              <w:t>Date</w:t>
            </w:r>
          </w:p>
        </w:tc>
      </w:tr>
      <w:tr w:rsidTr="00BF1CCE">
        <w:tblPrEx>
          <w:tblW w:w="10064" w:type="dxa"/>
          <w:tblLayout w:type="fixed"/>
          <w:tblLook w:val="0000"/>
        </w:tblPrEx>
        <w:trPr>
          <w:cantSplit/>
          <w:trHeight w:val="942"/>
        </w:trPr>
        <w:tc>
          <w:tcPr>
            <w:tcW w:w="2835" w:type="dxa"/>
            <w:vAlign w:val="center"/>
          </w:tcPr>
          <w:p w:rsidR="00284E95" w:rsidRPr="00ED4FF1" w:rsidP="00BF1CCE">
            <w:pPr>
              <w:spacing w:after="0"/>
              <w:jc w:val="center"/>
            </w:pPr>
            <w:r>
              <w:fldChar w:fldCharType="begin"/>
            </w:r>
            <w:r>
              <w:instrText xml:space="preserve"> DOCPROPERTY  LeadDirector  \* MERGEFORMAT </w:instrText>
            </w:r>
            <w:r>
              <w:fldChar w:fldCharType="separate"/>
            </w:r>
            <w:r>
              <w:fldChar w:fldCharType="end"/>
            </w:r>
          </w:p>
          <w:p w:rsidR="00284E95" w:rsidRPr="00ED4FF1" w:rsidP="00002DC5">
            <w:pPr>
              <w:jc w:val="center"/>
            </w:pPr>
            <w:r>
              <w:t>Director of Planning and Development</w:t>
            </w:r>
          </w:p>
        </w:tc>
        <w:tc>
          <w:tcPr>
            <w:tcW w:w="4678" w:type="dxa"/>
            <w:vAlign w:val="center"/>
          </w:tcPr>
          <w:p w:rsidR="004143F1" w:rsidP="00BF1CCE">
            <w:pPr>
              <w:spacing w:line="240" w:lineRule="auto"/>
              <w:jc w:val="center"/>
              <w:rPr>
                <w:rFonts w:cstheme="minorHAnsi"/>
              </w:rPr>
            </w:pPr>
          </w:p>
          <w:p w:rsidR="00284E95" w:rsidP="00BF1CCE">
            <w:pPr>
              <w:spacing w:line="240" w:lineRule="auto"/>
              <w:jc w:val="center"/>
              <w:rPr>
                <w:rFonts w:cstheme="minorHAnsi"/>
              </w:rPr>
            </w:pPr>
            <w:r w:rsidRPr="00ED4FF1">
              <w:rPr>
                <w:rFonts w:cstheme="minorHAnsi"/>
              </w:rPr>
              <w:fldChar w:fldCharType="begin"/>
            </w:r>
            <w:r w:rsidRPr="00ED4FF1">
              <w:rPr>
                <w:rFonts w:cstheme="minorHAnsi"/>
              </w:rPr>
              <w:instrText xml:space="preserve"> DOCPROPERTY  CommitteeName  \* MERGEFORMAT </w:instrText>
            </w:r>
            <w:r w:rsidRPr="00ED4FF1">
              <w:rPr>
                <w:rFonts w:cstheme="minorHAnsi"/>
              </w:rPr>
              <w:fldChar w:fldCharType="separate"/>
            </w:r>
            <w:r w:rsidRPr="00ED4FF1">
              <w:rPr>
                <w:rFonts w:cstheme="minorHAnsi"/>
              </w:rPr>
              <w:t>Licensing and Public Safety Committee</w:t>
            </w:r>
            <w:r w:rsidRPr="00ED4FF1">
              <w:rPr>
                <w:rFonts w:cstheme="minorHAnsi"/>
              </w:rPr>
              <w:fldChar w:fldCharType="end"/>
            </w:r>
          </w:p>
          <w:p w:rsidR="00284E95" w:rsidRPr="00ED4FF1" w:rsidP="004143F1">
            <w:pPr>
              <w:spacing w:line="240" w:lineRule="auto"/>
              <w:rPr>
                <w:rFonts w:cstheme="minorHAnsi"/>
              </w:rPr>
            </w:pPr>
          </w:p>
        </w:tc>
        <w:tc>
          <w:tcPr>
            <w:tcW w:w="2551" w:type="dxa"/>
            <w:vAlign w:val="center"/>
          </w:tcPr>
          <w:p w:rsidR="00284E95" w:rsidRPr="00ED4FF1" w:rsidP="00BF1CCE">
            <w:pPr>
              <w:spacing w:line="240" w:lineRule="auto"/>
              <w:jc w:val="center"/>
              <w:rPr>
                <w:rFonts w:cstheme="minorHAnsi"/>
              </w:rPr>
            </w:pPr>
            <w:r>
              <w:rPr>
                <w:rFonts w:cstheme="minorHAnsi"/>
              </w:rPr>
              <w:fldChar w:fldCharType="begin"/>
            </w:r>
            <w:r>
              <w:rPr>
                <w:rFonts w:cstheme="minorHAnsi"/>
              </w:rPr>
              <w:instrText xml:space="preserve"> DOCPROPERTY  MeetingDate  \* MERGEFORMAT </w:instrText>
            </w:r>
            <w:r>
              <w:rPr>
                <w:rFonts w:cstheme="minorHAnsi"/>
              </w:rPr>
              <w:fldChar w:fldCharType="separate"/>
            </w:r>
            <w:r>
              <w:rPr>
                <w:rFonts w:cstheme="minorHAnsi"/>
              </w:rPr>
              <w:t>Tuesday, 7 December 2021</w:t>
            </w:r>
            <w:r>
              <w:rPr>
                <w:rFonts w:cstheme="minorHAnsi"/>
              </w:rPr>
              <w:fldChar w:fldCharType="end"/>
            </w:r>
          </w:p>
        </w:tc>
      </w:tr>
    </w:tbl>
    <w:p w:rsidR="00CF42B2" w:rsidP="002A4A7D">
      <w:pPr>
        <w:spacing w:after="0"/>
      </w:pPr>
      <w:r>
        <w:rPr>
          <w:rFonts w:cstheme="minorHAnsi"/>
          <w:b/>
          <w:bCs/>
          <w:noProof/>
        </w:rPr>
        <w:drawing>
          <wp:anchor distT="0" distB="0" distL="114300" distR="114300" simplePos="0" relativeHeight="251659264" behindDoc="0" locked="0" layoutInCell="1" allowOverlap="1">
            <wp:simplePos x="0" y="0"/>
            <wp:positionH relativeFrom="column">
              <wp:posOffset>-589280</wp:posOffset>
            </wp:positionH>
            <wp:positionV relativeFrom="page">
              <wp:posOffset>152400</wp:posOffset>
            </wp:positionV>
            <wp:extent cx="2296116" cy="102616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93333" name="logo.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7189" cy="1026640"/>
                    </a:xfrm>
                    <a:prstGeom prst="rect">
                      <a:avLst/>
                    </a:prstGeom>
                  </pic:spPr>
                </pic:pic>
              </a:graphicData>
            </a:graphic>
            <wp14:sizeRelH relativeFrom="margin">
              <wp14:pctWidth>0</wp14:pctWidth>
            </wp14:sizeRelH>
            <wp14:sizeRelV relativeFrom="margin">
              <wp14:pctHeight>0</wp14:pctHeight>
            </wp14:sizeRelV>
          </wp:anchor>
        </w:drawing>
      </w:r>
    </w:p>
    <w:p w:rsidR="0025623A" w:rsidRPr="00EC59EE" w:rsidP="00EC59EE">
      <w:pPr>
        <w:pStyle w:val="Heading1"/>
        <w:spacing w:before="0" w:beforeAutospacing="0"/>
        <w:rPr>
          <w:rFonts w:asciiTheme="majorHAnsi" w:hAnsiTheme="majorHAnsi" w:cstheme="majorHAnsi"/>
          <w:sz w:val="24"/>
          <w:szCs w:val="24"/>
        </w:rPr>
      </w:pPr>
    </w:p>
    <w:tbl>
      <w:tblPr>
        <w:tblpPr w:leftFromText="181" w:rightFromText="181" w:vertAnchor="page" w:horzAnchor="margin" w:tblpXSpec="center" w:tblpY="4336"/>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4683"/>
      </w:tblGrid>
      <w:tr w:rsidTr="00E32C5A">
        <w:tblPrEx>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382" w:type="dxa"/>
            <w:shd w:val="clear" w:color="auto" w:fill="auto"/>
          </w:tcPr>
          <w:p w:rsidR="00E32C5A" w:rsidRPr="00D1305C" w:rsidP="00E32C5A">
            <w:pPr>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Is this report confidential?</w:t>
            </w:r>
          </w:p>
        </w:tc>
        <w:tc>
          <w:tcPr>
            <w:tcW w:w="4683" w:type="dxa"/>
            <w:shd w:val="clear" w:color="auto" w:fill="auto"/>
          </w:tcPr>
          <w:p w:rsidR="00E32C5A" w:rsidRPr="00D1305C" w:rsidP="00E32C5A">
            <w:pPr>
              <w:spacing w:after="0"/>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 xml:space="preserve">No </w:t>
            </w:r>
          </w:p>
          <w:p w:rsidR="00E32C5A" w:rsidRPr="00284E95" w:rsidP="00E32C5A">
            <w:pPr>
              <w:spacing w:after="0"/>
              <w:rPr>
                <w:rFonts w:eastAsia="Times New Roman" w:cstheme="minorHAnsi"/>
                <w:bCs/>
                <w:iCs/>
                <w:color w:val="000000" w:themeColor="text1"/>
                <w:kern w:val="36"/>
                <w:lang w:eastAsia="en-GB"/>
              </w:rPr>
            </w:pPr>
          </w:p>
        </w:tc>
      </w:tr>
    </w:tbl>
    <w:tbl>
      <w:tblPr>
        <w:tblpPr w:leftFromText="181" w:rightFromText="181" w:vertAnchor="page" w:horzAnchor="margin" w:tblpXSpec="center" w:tblpY="5086"/>
        <w:tblOverlap w:val="neve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4687"/>
      </w:tblGrid>
      <w:tr w:rsidTr="00E32C5A">
        <w:tblPrEx>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382" w:type="dxa"/>
            <w:shd w:val="clear" w:color="auto" w:fill="auto"/>
          </w:tcPr>
          <w:p w:rsidR="00E32C5A" w:rsidRPr="00D1305C" w:rsidP="00E32C5A">
            <w:pPr>
              <w:rPr>
                <w:rFonts w:eastAsia="Times New Roman" w:cstheme="minorHAnsi"/>
                <w:bCs/>
                <w:color w:val="000000" w:themeColor="text1"/>
                <w:kern w:val="36"/>
                <w:lang w:eastAsia="en-GB"/>
              </w:rPr>
            </w:pPr>
            <w:r w:rsidRPr="00E22E70">
              <w:rPr>
                <w:rFonts w:eastAsia="Times New Roman" w:cstheme="minorHAnsi"/>
                <w:bCs/>
                <w:kern w:val="36"/>
                <w:lang w:eastAsia="en-GB"/>
              </w:rPr>
              <w:t>Is this decision key?</w:t>
            </w:r>
          </w:p>
        </w:tc>
        <w:tc>
          <w:tcPr>
            <w:tcW w:w="4687" w:type="dxa"/>
            <w:shd w:val="clear" w:color="auto" w:fill="auto"/>
          </w:tcPr>
          <w:p w:rsidR="00E32C5A" w:rsidP="00E32C5A">
            <w:pPr>
              <w:spacing w:after="0"/>
              <w:rPr>
                <w:rFonts w:eastAsia="Times New Roman" w:cstheme="minorHAnsi"/>
                <w:bCs/>
                <w:color w:val="000000" w:themeColor="text1"/>
                <w:kern w:val="36"/>
                <w:lang w:eastAsia="en-GB"/>
              </w:rPr>
            </w:pPr>
            <w:r>
              <w:rPr>
                <w:rFonts w:eastAsia="Times New Roman" w:cstheme="minorHAnsi"/>
                <w:bCs/>
                <w:color w:val="000000" w:themeColor="text1"/>
                <w:kern w:val="36"/>
                <w:lang w:eastAsia="en-GB"/>
              </w:rPr>
              <w:t>No</w:t>
            </w:r>
          </w:p>
          <w:p w:rsidR="00E32C5A" w:rsidRPr="00284E95" w:rsidP="00E32C5A">
            <w:pPr>
              <w:spacing w:after="0"/>
              <w:rPr>
                <w:rFonts w:eastAsia="Times New Roman" w:cstheme="minorHAnsi"/>
                <w:bCs/>
                <w:color w:val="000000" w:themeColor="text1"/>
                <w:kern w:val="36"/>
                <w:lang w:eastAsia="en-GB"/>
              </w:rPr>
            </w:pPr>
          </w:p>
        </w:tc>
      </w:tr>
    </w:tbl>
    <w:p w:rsidR="00E32C5A" w:rsidRPr="00E32C5A" w:rsidP="000179AF">
      <w:pPr>
        <w:pStyle w:val="Heading1"/>
        <w:rPr>
          <w:rFonts w:asciiTheme="majorHAnsi" w:hAnsiTheme="majorHAnsi" w:cstheme="majorHAnsi"/>
          <w:sz w:val="16"/>
        </w:rPr>
      </w:pPr>
      <w:r w:rsidRPr="00E32C5A">
        <w:rPr>
          <w:rFonts w:asciiTheme="majorHAnsi" w:hAnsiTheme="majorHAnsi" w:cstheme="majorHAnsi"/>
          <w:sz w:val="36"/>
        </w:rPr>
        <w:t>Revised Gambling Policy 2022 – 2025</w:t>
      </w:r>
    </w:p>
    <w:p w:rsidR="000179AF" w:rsidRPr="00ED4FF1" w:rsidP="000179AF">
      <w:pPr>
        <w:pStyle w:val="Heading1"/>
        <w:rPr>
          <w:rFonts w:asciiTheme="majorHAnsi" w:hAnsiTheme="majorHAnsi" w:cstheme="majorHAnsi"/>
          <w:sz w:val="8"/>
          <w:szCs w:val="22"/>
        </w:rPr>
      </w:pPr>
      <w:r w:rsidRPr="00ED4FF1">
        <w:rPr>
          <w:rFonts w:asciiTheme="majorHAnsi" w:hAnsiTheme="majorHAnsi" w:cstheme="majorHAnsi"/>
          <w:sz w:val="22"/>
        </w:rPr>
        <w:t>Purpose of the Report</w:t>
      </w:r>
    </w:p>
    <w:p w:rsidR="000179AF" w:rsidP="000179AF">
      <w:pPr>
        <w:numPr>
          <w:ilvl w:val="0"/>
          <w:numId w:val="8"/>
        </w:numPr>
        <w:spacing w:after="0" w:line="240" w:lineRule="auto"/>
        <w:jc w:val="both"/>
        <w:rPr>
          <w:rFonts w:cstheme="minorHAnsi"/>
          <w:bCs/>
          <w:iCs/>
          <w:color w:val="000000" w:themeColor="text1"/>
        </w:rPr>
      </w:pPr>
      <w:r w:rsidRPr="00C21925">
        <w:rPr>
          <w:rFonts w:cstheme="minorHAnsi"/>
          <w:bCs/>
          <w:iCs/>
          <w:color w:val="000000" w:themeColor="text1"/>
        </w:rPr>
        <w:t xml:space="preserve">This report </w:t>
      </w:r>
      <w:r>
        <w:rPr>
          <w:rFonts w:cstheme="minorHAnsi"/>
          <w:bCs/>
          <w:iCs/>
          <w:color w:val="000000" w:themeColor="text1"/>
        </w:rPr>
        <w:t>is</w:t>
      </w:r>
      <w:r w:rsidRPr="00C21925">
        <w:rPr>
          <w:rFonts w:cstheme="minorHAnsi"/>
          <w:bCs/>
          <w:iCs/>
          <w:color w:val="000000" w:themeColor="text1"/>
        </w:rPr>
        <w:t xml:space="preserve"> to outline </w:t>
      </w:r>
      <w:r>
        <w:rPr>
          <w:rFonts w:cstheme="minorHAnsi"/>
          <w:bCs/>
          <w:iCs/>
          <w:color w:val="000000" w:themeColor="text1"/>
        </w:rPr>
        <w:t xml:space="preserve">to Members </w:t>
      </w:r>
      <w:r w:rsidRPr="00C21925">
        <w:rPr>
          <w:rFonts w:cstheme="minorHAnsi"/>
          <w:bCs/>
          <w:iCs/>
          <w:color w:val="000000" w:themeColor="text1"/>
        </w:rPr>
        <w:t xml:space="preserve">the proposed revisions </w:t>
      </w:r>
      <w:r>
        <w:rPr>
          <w:rFonts w:cstheme="minorHAnsi"/>
          <w:bCs/>
          <w:iCs/>
          <w:color w:val="000000" w:themeColor="text1"/>
        </w:rPr>
        <w:t xml:space="preserve">required to </w:t>
      </w:r>
      <w:r w:rsidRPr="00C21925">
        <w:rPr>
          <w:rFonts w:cstheme="minorHAnsi"/>
          <w:bCs/>
          <w:iCs/>
          <w:color w:val="000000" w:themeColor="text1"/>
        </w:rPr>
        <w:t xml:space="preserve">the </w:t>
      </w:r>
      <w:r>
        <w:rPr>
          <w:rFonts w:cstheme="minorHAnsi"/>
          <w:bCs/>
          <w:iCs/>
          <w:color w:val="000000" w:themeColor="text1"/>
        </w:rPr>
        <w:t>C</w:t>
      </w:r>
      <w:r w:rsidRPr="00C21925">
        <w:rPr>
          <w:rFonts w:cstheme="minorHAnsi"/>
          <w:bCs/>
          <w:iCs/>
          <w:color w:val="000000" w:themeColor="text1"/>
        </w:rPr>
        <w:t>ouncil’s Statement of Licensing Policy (Gambling).</w:t>
      </w:r>
      <w:r w:rsidRPr="004F3E46">
        <w:t xml:space="preserve"> </w:t>
      </w:r>
      <w:r w:rsidRPr="004F3E46">
        <w:rPr>
          <w:rFonts w:cstheme="minorHAnsi"/>
          <w:bCs/>
          <w:iCs/>
          <w:color w:val="000000" w:themeColor="text1"/>
        </w:rPr>
        <w:t xml:space="preserve">The </w:t>
      </w:r>
      <w:r>
        <w:rPr>
          <w:rFonts w:cstheme="minorHAnsi"/>
          <w:bCs/>
          <w:iCs/>
          <w:color w:val="000000" w:themeColor="text1"/>
        </w:rPr>
        <w:t xml:space="preserve">last </w:t>
      </w:r>
      <w:r w:rsidRPr="004F3E46">
        <w:rPr>
          <w:rFonts w:cstheme="minorHAnsi"/>
          <w:bCs/>
          <w:iCs/>
          <w:color w:val="000000" w:themeColor="text1"/>
        </w:rPr>
        <w:t xml:space="preserve">Gambling Policy was published on </w:t>
      </w:r>
      <w:r>
        <w:rPr>
          <w:rFonts w:cstheme="minorHAnsi"/>
          <w:bCs/>
          <w:iCs/>
          <w:color w:val="000000" w:themeColor="text1"/>
        </w:rPr>
        <w:t>31</w:t>
      </w:r>
      <w:r w:rsidRPr="004F3E46">
        <w:rPr>
          <w:rFonts w:cstheme="minorHAnsi"/>
          <w:bCs/>
          <w:iCs/>
          <w:color w:val="000000" w:themeColor="text1"/>
          <w:vertAlign w:val="superscript"/>
        </w:rPr>
        <w:t>st</w:t>
      </w:r>
      <w:r>
        <w:rPr>
          <w:rFonts w:cstheme="minorHAnsi"/>
          <w:bCs/>
          <w:iCs/>
          <w:color w:val="000000" w:themeColor="text1"/>
        </w:rPr>
        <w:t xml:space="preserve"> January 2019</w:t>
      </w:r>
      <w:r w:rsidRPr="004F3E46">
        <w:rPr>
          <w:rFonts w:cstheme="minorHAnsi"/>
          <w:bCs/>
          <w:iCs/>
          <w:color w:val="000000" w:themeColor="text1"/>
        </w:rPr>
        <w:t xml:space="preserve"> </w:t>
      </w:r>
      <w:r>
        <w:rPr>
          <w:rFonts w:cstheme="minorHAnsi"/>
          <w:bCs/>
          <w:iCs/>
          <w:color w:val="000000" w:themeColor="text1"/>
        </w:rPr>
        <w:t>and us due to expire on the 31</w:t>
      </w:r>
      <w:r w:rsidRPr="004F3E46">
        <w:rPr>
          <w:rFonts w:cstheme="minorHAnsi"/>
          <w:bCs/>
          <w:iCs/>
          <w:color w:val="000000" w:themeColor="text1"/>
          <w:vertAlign w:val="superscript"/>
        </w:rPr>
        <w:t>st</w:t>
      </w:r>
      <w:r>
        <w:rPr>
          <w:rFonts w:cstheme="minorHAnsi"/>
          <w:bCs/>
          <w:iCs/>
          <w:color w:val="000000" w:themeColor="text1"/>
        </w:rPr>
        <w:t xml:space="preserve"> January 2022. </w:t>
      </w:r>
    </w:p>
    <w:p w:rsidR="00A0413C" w:rsidP="00A0413C">
      <w:pPr>
        <w:spacing w:after="0" w:line="240" w:lineRule="auto"/>
        <w:jc w:val="both"/>
        <w:rPr>
          <w:rFonts w:cstheme="minorHAnsi"/>
          <w:bCs/>
          <w:iCs/>
          <w:color w:val="000000" w:themeColor="text1"/>
        </w:rPr>
      </w:pPr>
    </w:p>
    <w:p w:rsidR="00A0413C" w:rsidRPr="00A0413C" w:rsidP="00A0413C">
      <w:pPr>
        <w:spacing w:after="0" w:line="240" w:lineRule="auto"/>
        <w:jc w:val="both"/>
        <w:rPr>
          <w:rFonts w:cstheme="minorHAnsi"/>
          <w:b/>
          <w:bCs/>
          <w:iCs/>
          <w:color w:val="000000" w:themeColor="text1"/>
        </w:rPr>
      </w:pPr>
      <w:r w:rsidRPr="00A0413C">
        <w:rPr>
          <w:rFonts w:cstheme="minorHAnsi"/>
          <w:b/>
          <w:bCs/>
          <w:iCs/>
          <w:color w:val="000000" w:themeColor="text1"/>
        </w:rPr>
        <w:t xml:space="preserve">Recommendations </w:t>
      </w:r>
    </w:p>
    <w:p w:rsidR="00A0413C" w:rsidRPr="00A0413C" w:rsidP="00A0413C">
      <w:pPr>
        <w:pStyle w:val="ListParagraph"/>
        <w:rPr>
          <w:rFonts w:cstheme="minorHAnsi"/>
          <w:bCs/>
          <w:iCs/>
          <w:color w:val="000000" w:themeColor="text1"/>
        </w:rPr>
      </w:pPr>
    </w:p>
    <w:p w:rsidR="00A0413C" w:rsidRPr="00A0413C" w:rsidP="00A0413C">
      <w:pPr>
        <w:pStyle w:val="ListParagraph"/>
        <w:numPr>
          <w:ilvl w:val="0"/>
          <w:numId w:val="8"/>
        </w:numPr>
        <w:spacing w:after="0" w:line="240" w:lineRule="auto"/>
        <w:jc w:val="both"/>
        <w:rPr>
          <w:rFonts w:cstheme="minorHAnsi"/>
          <w:bCs/>
          <w:iCs/>
          <w:color w:val="000000" w:themeColor="text1"/>
        </w:rPr>
      </w:pPr>
      <w:r>
        <w:rPr>
          <w:rFonts w:cstheme="minorHAnsi"/>
          <w:bCs/>
          <w:iCs/>
          <w:color w:val="000000" w:themeColor="text1"/>
        </w:rPr>
        <w:t>Members should consider all revisions and recommendations for approval to full council before the 31</w:t>
      </w:r>
      <w:r w:rsidRPr="00A0413C">
        <w:rPr>
          <w:rFonts w:cstheme="minorHAnsi"/>
          <w:bCs/>
          <w:iCs/>
          <w:color w:val="000000" w:themeColor="text1"/>
          <w:vertAlign w:val="superscript"/>
        </w:rPr>
        <w:t>st</w:t>
      </w:r>
      <w:r>
        <w:rPr>
          <w:rFonts w:cstheme="minorHAnsi"/>
          <w:bCs/>
          <w:iCs/>
          <w:color w:val="000000" w:themeColor="text1"/>
        </w:rPr>
        <w:t xml:space="preserve"> January 2022</w:t>
      </w:r>
      <w:bookmarkStart w:id="1" w:name="_GoBack"/>
      <w:bookmarkEnd w:id="1"/>
    </w:p>
    <w:p w:rsidR="000179AF" w:rsidRPr="00D4431F" w:rsidP="002A4A7D">
      <w:pPr>
        <w:spacing w:after="0" w:line="240" w:lineRule="auto"/>
        <w:jc w:val="both"/>
        <w:rPr>
          <w:rFonts w:cstheme="minorHAnsi"/>
          <w:bCs/>
        </w:rPr>
      </w:pPr>
    </w:p>
    <w:p w:rsidR="000179AF" w:rsidRPr="00ED4FF1" w:rsidP="00ED4FF1">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Corporate priorities</w:t>
      </w:r>
    </w:p>
    <w:p w:rsidR="000179AF" w:rsidP="00CF42B2">
      <w:pPr>
        <w:numPr>
          <w:ilvl w:val="0"/>
          <w:numId w:val="8"/>
        </w:numPr>
        <w:spacing w:after="0" w:line="240" w:lineRule="auto"/>
        <w:jc w:val="both"/>
        <w:rPr>
          <w:rFonts w:cstheme="minorHAnsi"/>
          <w:bCs/>
          <w:i/>
        </w:rPr>
      </w:pPr>
      <w:r w:rsidRPr="00D4431F">
        <w:rPr>
          <w:rFonts w:cstheme="minorHAnsi"/>
          <w:bCs/>
        </w:rPr>
        <w:t xml:space="preserve"> The report relates to the followin</w:t>
      </w:r>
      <w:r w:rsidRPr="00D4431F">
        <w:rPr>
          <w:rFonts w:cstheme="minorHAnsi"/>
          <w:bCs/>
        </w:rPr>
        <w:t>g corporate priorities:</w:t>
      </w:r>
      <w:r w:rsidRPr="00284E95">
        <w:rPr>
          <w:rFonts w:cstheme="minorHAnsi"/>
          <w:bCs/>
          <w:iCs/>
        </w:rPr>
        <w:t xml:space="preserve"> (please bold all those applicable):</w:t>
      </w:r>
    </w:p>
    <w:p w:rsidR="002A4A7D" w:rsidRPr="006149F1" w:rsidP="002A4A7D">
      <w:pPr>
        <w:spacing w:after="0" w:line="240" w:lineRule="auto"/>
        <w:ind w:left="360"/>
        <w:jc w:val="both"/>
        <w:rPr>
          <w:rFonts w:cstheme="minorHAnsi"/>
          <w:bCs/>
          <w:i/>
        </w:rPr>
      </w:pPr>
    </w:p>
    <w:tbl>
      <w:tblPr>
        <w:tblpPr w:leftFromText="181" w:rightFromText="181" w:vertAnchor="text" w:tblpY="1"/>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678"/>
      </w:tblGrid>
      <w:tr w:rsidTr="00BF1CCE">
        <w:tblPrEx>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848" w:type="dxa"/>
            <w:shd w:val="clear" w:color="auto" w:fill="auto"/>
            <w:vAlign w:val="center"/>
          </w:tcPr>
          <w:p w:rsidR="001073DC" w:rsidRPr="00D4431F" w:rsidP="00BF1CCE">
            <w:pPr>
              <w:spacing w:line="240" w:lineRule="auto"/>
              <w:jc w:val="center"/>
              <w:rPr>
                <w:rFonts w:cstheme="minorHAnsi"/>
                <w:bCs/>
              </w:rPr>
            </w:pPr>
            <w:r w:rsidRPr="00D4431F">
              <w:rPr>
                <w:rFonts w:cstheme="minorHAnsi"/>
                <w:bCs/>
              </w:rPr>
              <w:t>An exemplary council</w:t>
            </w:r>
          </w:p>
        </w:tc>
        <w:tc>
          <w:tcPr>
            <w:tcW w:w="4678" w:type="dxa"/>
            <w:vAlign w:val="center"/>
          </w:tcPr>
          <w:p w:rsidR="001073DC" w:rsidRPr="00D4431F" w:rsidP="00BF1CCE">
            <w:pPr>
              <w:spacing w:line="240" w:lineRule="auto"/>
              <w:jc w:val="center"/>
              <w:rPr>
                <w:rFonts w:cstheme="minorHAnsi"/>
                <w:bCs/>
              </w:rPr>
            </w:pPr>
            <w:r w:rsidRPr="00D4431F">
              <w:rPr>
                <w:rFonts w:cstheme="minorHAnsi"/>
                <w:bCs/>
              </w:rPr>
              <w:t>Thriving communities</w:t>
            </w:r>
          </w:p>
        </w:tc>
      </w:tr>
      <w:tr w:rsidTr="00BF1CCE">
        <w:tblPrEx>
          <w:tblW w:w="9526" w:type="dxa"/>
          <w:tblLook w:val="04A0"/>
        </w:tblPrEx>
        <w:tc>
          <w:tcPr>
            <w:tcW w:w="4848" w:type="dxa"/>
            <w:shd w:val="clear" w:color="auto" w:fill="auto"/>
            <w:vAlign w:val="center"/>
          </w:tcPr>
          <w:p w:rsidR="001073DC" w:rsidRPr="00D4431F" w:rsidP="00BF1CCE">
            <w:pPr>
              <w:spacing w:line="240" w:lineRule="auto"/>
              <w:jc w:val="center"/>
              <w:rPr>
                <w:rFonts w:cstheme="minorHAnsi"/>
                <w:bCs/>
              </w:rPr>
            </w:pPr>
            <w:r w:rsidRPr="00D4431F">
              <w:rPr>
                <w:rFonts w:cstheme="minorHAnsi"/>
                <w:bCs/>
              </w:rPr>
              <w:t>A fair local economy that works for everyone</w:t>
            </w:r>
          </w:p>
        </w:tc>
        <w:tc>
          <w:tcPr>
            <w:tcW w:w="4678" w:type="dxa"/>
            <w:vAlign w:val="center"/>
          </w:tcPr>
          <w:p w:rsidR="001073DC" w:rsidRPr="00D4431F" w:rsidP="00BF1CCE">
            <w:pPr>
              <w:spacing w:line="240" w:lineRule="auto"/>
              <w:jc w:val="center"/>
              <w:rPr>
                <w:rFonts w:cstheme="minorHAnsi"/>
                <w:bCs/>
              </w:rPr>
            </w:pPr>
            <w:r w:rsidRPr="00D4431F">
              <w:rPr>
                <w:rFonts w:cstheme="minorHAnsi"/>
                <w:bCs/>
              </w:rPr>
              <w:t>Good homes, green spaces, healthy places</w:t>
            </w:r>
          </w:p>
        </w:tc>
      </w:tr>
    </w:tbl>
    <w:p w:rsidR="001A6747" w:rsidP="00ED4FF1">
      <w:pPr>
        <w:pStyle w:val="Heading2"/>
        <w:spacing w:before="0" w:beforeAutospacing="0"/>
        <w:rPr>
          <w:rFonts w:asciiTheme="majorHAnsi" w:hAnsiTheme="majorHAnsi" w:cstheme="majorHAnsi"/>
          <w:sz w:val="22"/>
          <w:szCs w:val="22"/>
        </w:rPr>
      </w:pPr>
    </w:p>
    <w:p w:rsidR="000179AF" w:rsidP="00ED4FF1">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Background to the report</w:t>
      </w:r>
    </w:p>
    <w:p w:rsidR="00DD505D" w:rsidP="00DD505D">
      <w:pPr>
        <w:pStyle w:val="Heading2"/>
        <w:numPr>
          <w:ilvl w:val="0"/>
          <w:numId w:val="8"/>
        </w:numPr>
        <w:spacing w:before="0" w:beforeAutospacing="0"/>
        <w:rPr>
          <w:rFonts w:asciiTheme="majorHAnsi" w:hAnsiTheme="majorHAnsi" w:cstheme="majorHAnsi"/>
          <w:b w:val="0"/>
          <w:sz w:val="22"/>
          <w:szCs w:val="22"/>
        </w:rPr>
      </w:pPr>
      <w:r w:rsidRPr="00F34AAC">
        <w:rPr>
          <w:rFonts w:asciiTheme="majorHAnsi" w:hAnsiTheme="majorHAnsi" w:cstheme="majorHAnsi"/>
          <w:b w:val="0"/>
          <w:sz w:val="22"/>
          <w:szCs w:val="22"/>
        </w:rPr>
        <w:t xml:space="preserve">The council’s Statement of Licensing Policy (Gambling) sets out the way the council will generally promote the Licensing Objectives when considering and making decisions on applications made under the Gambling Act (the Act). </w:t>
      </w:r>
    </w:p>
    <w:p w:rsidR="00C672D9" w:rsidRPr="008E6BCC" w:rsidP="00D176A3">
      <w:pPr>
        <w:pStyle w:val="Heading2"/>
        <w:spacing w:before="0" w:beforeAutospacing="0"/>
        <w:ind w:left="360"/>
        <w:rPr>
          <w:rFonts w:asciiTheme="majorHAnsi" w:hAnsiTheme="majorHAnsi" w:cstheme="majorHAnsi"/>
          <w:b w:val="0"/>
          <w:sz w:val="22"/>
          <w:szCs w:val="22"/>
        </w:rPr>
      </w:pPr>
      <w:r w:rsidRPr="00DD505D">
        <w:rPr>
          <w:rFonts w:asciiTheme="majorHAnsi" w:hAnsiTheme="majorHAnsi" w:cstheme="majorHAnsi"/>
          <w:b w:val="0"/>
          <w:sz w:val="22"/>
          <w:szCs w:val="22"/>
        </w:rPr>
        <w:t>The council’s current Statemen</w:t>
      </w:r>
      <w:r w:rsidRPr="00DD505D">
        <w:rPr>
          <w:rFonts w:asciiTheme="majorHAnsi" w:hAnsiTheme="majorHAnsi" w:cstheme="majorHAnsi"/>
          <w:b w:val="0"/>
          <w:sz w:val="22"/>
          <w:szCs w:val="22"/>
        </w:rPr>
        <w:t>t of Policy is due to expire on the 31st of January 2022. Under the Act policies endure for a</w:t>
      </w:r>
      <w:r>
        <w:rPr>
          <w:rFonts w:asciiTheme="majorHAnsi" w:hAnsiTheme="majorHAnsi" w:cstheme="majorHAnsi"/>
          <w:b w:val="0"/>
          <w:sz w:val="22"/>
          <w:szCs w:val="22"/>
        </w:rPr>
        <w:t xml:space="preserve"> </w:t>
      </w:r>
      <w:r w:rsidRPr="00DD505D">
        <w:rPr>
          <w:rFonts w:asciiTheme="majorHAnsi" w:hAnsiTheme="majorHAnsi" w:cstheme="majorHAnsi"/>
          <w:b w:val="0"/>
          <w:sz w:val="22"/>
          <w:szCs w:val="22"/>
        </w:rPr>
        <w:t>3-year period.</w:t>
      </w:r>
    </w:p>
    <w:p w:rsidR="000C74CE" w:rsidRPr="00F614F4" w:rsidP="00F614F4">
      <w:pPr>
        <w:pStyle w:val="ListParagraph"/>
        <w:numPr>
          <w:ilvl w:val="0"/>
          <w:numId w:val="8"/>
        </w:numPr>
        <w:rPr>
          <w:rFonts w:eastAsia="Times New Roman" w:asciiTheme="majorHAnsi" w:hAnsiTheme="majorHAnsi" w:cstheme="majorHAnsi"/>
          <w:bCs/>
          <w:lang w:eastAsia="en-GB"/>
        </w:rPr>
      </w:pPr>
      <w:r w:rsidRPr="00F614F4">
        <w:rPr>
          <w:rFonts w:eastAsia="Times New Roman" w:asciiTheme="majorHAnsi" w:hAnsiTheme="majorHAnsi" w:cstheme="majorHAnsi"/>
          <w:bCs/>
          <w:lang w:eastAsia="en-GB"/>
        </w:rPr>
        <w:t>The council is constrained by the provisions of the Act, the Guidance and any Regulations made under the Act. However, the Authority may depart fro</w:t>
      </w:r>
      <w:r w:rsidRPr="00F614F4">
        <w:rPr>
          <w:rFonts w:eastAsia="Times New Roman" w:asciiTheme="majorHAnsi" w:hAnsiTheme="majorHAnsi" w:cstheme="majorHAnsi"/>
          <w:bCs/>
          <w:lang w:eastAsia="en-GB"/>
        </w:rPr>
        <w:t xml:space="preserve">m the Guidance if it has reason to do so but must give full justification for any such departure.  </w:t>
      </w:r>
    </w:p>
    <w:p w:rsidR="000C74CE" w:rsidRPr="000C74CE" w:rsidP="000C74CE">
      <w:pPr>
        <w:pStyle w:val="ListParagraph"/>
        <w:ind w:left="360"/>
        <w:rPr>
          <w:rFonts w:eastAsia="Times New Roman" w:asciiTheme="majorHAnsi" w:hAnsiTheme="majorHAnsi" w:cstheme="majorHAnsi"/>
          <w:bCs/>
          <w:lang w:eastAsia="en-GB"/>
        </w:rPr>
      </w:pPr>
    </w:p>
    <w:p w:rsidR="00316B9E" w:rsidP="00316B9E">
      <w:pPr>
        <w:pStyle w:val="ListParagraph"/>
        <w:numPr>
          <w:ilvl w:val="0"/>
          <w:numId w:val="8"/>
        </w:numPr>
        <w:rPr>
          <w:rFonts w:eastAsia="Times New Roman" w:asciiTheme="majorHAnsi" w:hAnsiTheme="majorHAnsi" w:cstheme="majorHAnsi"/>
          <w:bCs/>
          <w:lang w:eastAsia="en-GB"/>
        </w:rPr>
      </w:pPr>
      <w:r w:rsidRPr="000C74CE">
        <w:rPr>
          <w:rFonts w:eastAsia="Times New Roman" w:asciiTheme="majorHAnsi" w:hAnsiTheme="majorHAnsi" w:cstheme="majorHAnsi"/>
          <w:bCs/>
          <w:lang w:eastAsia="en-GB"/>
        </w:rPr>
        <w:t>The council is required by Section 349 of the Act to publish a new Gambling policy by the 31st of January 20</w:t>
      </w:r>
      <w:r>
        <w:rPr>
          <w:rFonts w:eastAsia="Times New Roman" w:asciiTheme="majorHAnsi" w:hAnsiTheme="majorHAnsi" w:cstheme="majorHAnsi"/>
          <w:bCs/>
          <w:lang w:eastAsia="en-GB"/>
        </w:rPr>
        <w:t>22</w:t>
      </w:r>
      <w:r w:rsidRPr="000C74CE">
        <w:rPr>
          <w:rFonts w:eastAsia="Times New Roman" w:asciiTheme="majorHAnsi" w:hAnsiTheme="majorHAnsi" w:cstheme="majorHAnsi"/>
          <w:bCs/>
          <w:lang w:eastAsia="en-GB"/>
        </w:rPr>
        <w:t xml:space="preserve">. This Statement of Policy shall be </w:t>
      </w:r>
      <w:r w:rsidRPr="000C74CE">
        <w:rPr>
          <w:rFonts w:eastAsia="Times New Roman" w:asciiTheme="majorHAnsi" w:hAnsiTheme="majorHAnsi" w:cstheme="majorHAnsi"/>
          <w:bCs/>
          <w:lang w:eastAsia="en-GB"/>
        </w:rPr>
        <w:t>effective from the 31st January 20</w:t>
      </w:r>
      <w:r>
        <w:rPr>
          <w:rFonts w:eastAsia="Times New Roman" w:asciiTheme="majorHAnsi" w:hAnsiTheme="majorHAnsi" w:cstheme="majorHAnsi"/>
          <w:bCs/>
          <w:lang w:eastAsia="en-GB"/>
        </w:rPr>
        <w:t>22</w:t>
      </w:r>
      <w:r w:rsidRPr="000C74CE">
        <w:rPr>
          <w:rFonts w:eastAsia="Times New Roman" w:asciiTheme="majorHAnsi" w:hAnsiTheme="majorHAnsi" w:cstheme="majorHAnsi"/>
          <w:bCs/>
          <w:lang w:eastAsia="en-GB"/>
        </w:rPr>
        <w:t xml:space="preserve"> and shall remain in effect for three years; therefore, this Statement will be reviewed </w:t>
      </w:r>
      <w:r>
        <w:rPr>
          <w:rFonts w:eastAsia="Times New Roman" w:asciiTheme="majorHAnsi" w:hAnsiTheme="majorHAnsi" w:cstheme="majorHAnsi"/>
          <w:bCs/>
          <w:lang w:eastAsia="en-GB"/>
        </w:rPr>
        <w:t xml:space="preserve">again </w:t>
      </w:r>
      <w:r w:rsidRPr="000C74CE">
        <w:rPr>
          <w:rFonts w:eastAsia="Times New Roman" w:asciiTheme="majorHAnsi" w:hAnsiTheme="majorHAnsi" w:cstheme="majorHAnsi"/>
          <w:bCs/>
          <w:lang w:eastAsia="en-GB"/>
        </w:rPr>
        <w:t>in January 202</w:t>
      </w:r>
      <w:r>
        <w:rPr>
          <w:rFonts w:eastAsia="Times New Roman" w:asciiTheme="majorHAnsi" w:hAnsiTheme="majorHAnsi" w:cstheme="majorHAnsi"/>
          <w:bCs/>
          <w:lang w:eastAsia="en-GB"/>
        </w:rPr>
        <w:t>5.</w:t>
      </w:r>
    </w:p>
    <w:p w:rsidR="00316B9E" w:rsidRPr="00316B9E" w:rsidP="00316B9E">
      <w:pPr>
        <w:pStyle w:val="ListParagraph"/>
        <w:rPr>
          <w:rFonts w:eastAsia="Times New Roman" w:asciiTheme="majorHAnsi" w:hAnsiTheme="majorHAnsi" w:cstheme="majorHAnsi"/>
          <w:bCs/>
          <w:lang w:eastAsia="en-GB"/>
        </w:rPr>
      </w:pPr>
    </w:p>
    <w:p w:rsidR="00316B9E" w:rsidP="00DD0759">
      <w:pPr>
        <w:pStyle w:val="ListParagraph"/>
        <w:numPr>
          <w:ilvl w:val="0"/>
          <w:numId w:val="8"/>
        </w:numPr>
        <w:rPr>
          <w:rFonts w:eastAsia="Times New Roman" w:asciiTheme="majorHAnsi" w:hAnsiTheme="majorHAnsi" w:cstheme="majorHAnsi"/>
          <w:bCs/>
          <w:lang w:eastAsia="en-GB"/>
        </w:rPr>
      </w:pPr>
      <w:r w:rsidRPr="001E3B9E">
        <w:rPr>
          <w:rFonts w:eastAsia="Times New Roman" w:asciiTheme="majorHAnsi" w:hAnsiTheme="majorHAnsi" w:cstheme="majorHAnsi"/>
          <w:bCs/>
          <w:lang w:eastAsia="en-GB"/>
        </w:rPr>
        <w:t>South Ribble does not have a particularly wide offer of Gambling establishments with 11</w:t>
      </w:r>
      <w:r w:rsidRPr="001E3B9E">
        <w:rPr>
          <w:rFonts w:eastAsia="Times New Roman" w:asciiTheme="majorHAnsi" w:hAnsiTheme="majorHAnsi" w:cstheme="majorHAnsi"/>
          <w:bCs/>
          <w:lang w:eastAsia="en-GB"/>
        </w:rPr>
        <w:t xml:space="preserve"> Betting shops, most of which are national operators. The gaming machine offer is much broader with virtually every Licensed Premises in the Borough taking advantage of the right to site machines in their premises. </w:t>
      </w:r>
    </w:p>
    <w:p w:rsidR="00DD0759" w:rsidRPr="001E3B9E" w:rsidP="00DD0759">
      <w:pPr>
        <w:pStyle w:val="ListParagraph"/>
        <w:rPr>
          <w:rFonts w:eastAsia="Times New Roman" w:asciiTheme="majorHAnsi" w:hAnsiTheme="majorHAnsi" w:cstheme="majorHAnsi"/>
          <w:bCs/>
          <w:lang w:eastAsia="en-GB"/>
        </w:rPr>
      </w:pPr>
    </w:p>
    <w:p w:rsidR="00316B9E" w:rsidRPr="00DD0759" w:rsidP="00DD0759">
      <w:pPr>
        <w:rPr>
          <w:rFonts w:eastAsia="Times New Roman" w:asciiTheme="majorHAnsi" w:hAnsiTheme="majorHAnsi" w:cstheme="majorHAnsi"/>
          <w:b/>
          <w:bCs/>
          <w:lang w:eastAsia="en-GB"/>
        </w:rPr>
      </w:pPr>
      <w:r w:rsidRPr="00DD0759">
        <w:rPr>
          <w:rFonts w:eastAsia="Times New Roman" w:asciiTheme="majorHAnsi" w:hAnsiTheme="majorHAnsi" w:cstheme="majorHAnsi"/>
          <w:b/>
          <w:bCs/>
          <w:lang w:eastAsia="en-GB"/>
        </w:rPr>
        <w:t xml:space="preserve">Changes required to </w:t>
      </w:r>
      <w:r>
        <w:rPr>
          <w:rFonts w:eastAsia="Times New Roman" w:asciiTheme="majorHAnsi" w:hAnsiTheme="majorHAnsi" w:cstheme="majorHAnsi"/>
          <w:b/>
          <w:bCs/>
          <w:lang w:eastAsia="en-GB"/>
        </w:rPr>
        <w:t>your</w:t>
      </w:r>
      <w:r w:rsidRPr="00DD0759">
        <w:rPr>
          <w:rFonts w:eastAsia="Times New Roman" w:asciiTheme="majorHAnsi" w:hAnsiTheme="majorHAnsi" w:cstheme="majorHAnsi"/>
          <w:b/>
          <w:bCs/>
          <w:lang w:eastAsia="en-GB"/>
        </w:rPr>
        <w:t xml:space="preserve"> Gambling Polic</w:t>
      </w:r>
      <w:r w:rsidRPr="00DD0759">
        <w:rPr>
          <w:rFonts w:eastAsia="Times New Roman" w:asciiTheme="majorHAnsi" w:hAnsiTheme="majorHAnsi" w:cstheme="majorHAnsi"/>
          <w:b/>
          <w:bCs/>
          <w:lang w:eastAsia="en-GB"/>
        </w:rPr>
        <w:t xml:space="preserve">y </w:t>
      </w:r>
    </w:p>
    <w:p w:rsidR="00316B9E" w:rsidRPr="00316B9E" w:rsidP="00316B9E">
      <w:pPr>
        <w:pStyle w:val="ListParagraph"/>
        <w:ind w:left="360"/>
        <w:rPr>
          <w:rFonts w:eastAsia="Times New Roman" w:asciiTheme="majorHAnsi" w:hAnsiTheme="majorHAnsi" w:cstheme="majorHAnsi"/>
          <w:bCs/>
          <w:lang w:eastAsia="en-GB"/>
        </w:rPr>
      </w:pPr>
    </w:p>
    <w:p w:rsidR="0010622C" w:rsidRPr="0010622C" w:rsidP="0010622C">
      <w:pPr>
        <w:pStyle w:val="ListParagraph"/>
        <w:numPr>
          <w:ilvl w:val="0"/>
          <w:numId w:val="8"/>
        </w:numPr>
        <w:rPr>
          <w:rFonts w:eastAsia="Times New Roman" w:asciiTheme="majorHAnsi" w:hAnsiTheme="majorHAnsi" w:cstheme="majorHAnsi"/>
          <w:bCs/>
          <w:lang w:eastAsia="en-GB"/>
        </w:rPr>
      </w:pPr>
      <w:r>
        <w:rPr>
          <w:rFonts w:eastAsia="Times New Roman" w:asciiTheme="majorHAnsi" w:hAnsiTheme="majorHAnsi" w:cstheme="majorHAnsi"/>
          <w:bCs/>
          <w:lang w:eastAsia="en-GB"/>
        </w:rPr>
        <w:t>Below are</w:t>
      </w:r>
      <w:r w:rsidRPr="0010622C">
        <w:rPr>
          <w:rFonts w:eastAsia="Times New Roman" w:asciiTheme="majorHAnsi" w:hAnsiTheme="majorHAnsi" w:cstheme="majorHAnsi"/>
          <w:bCs/>
          <w:lang w:eastAsia="en-GB"/>
        </w:rPr>
        <w:t xml:space="preserve"> </w:t>
      </w:r>
      <w:r>
        <w:rPr>
          <w:rFonts w:eastAsia="Times New Roman" w:asciiTheme="majorHAnsi" w:hAnsiTheme="majorHAnsi" w:cstheme="majorHAnsi"/>
          <w:bCs/>
          <w:lang w:eastAsia="en-GB"/>
        </w:rPr>
        <w:t xml:space="preserve">the </w:t>
      </w:r>
      <w:r w:rsidRPr="0010622C">
        <w:rPr>
          <w:rFonts w:eastAsia="Times New Roman" w:asciiTheme="majorHAnsi" w:hAnsiTheme="majorHAnsi" w:cstheme="majorHAnsi"/>
          <w:bCs/>
          <w:lang w:eastAsia="en-GB"/>
        </w:rPr>
        <w:t>update</w:t>
      </w:r>
      <w:r>
        <w:rPr>
          <w:rFonts w:eastAsia="Times New Roman" w:asciiTheme="majorHAnsi" w:hAnsiTheme="majorHAnsi" w:cstheme="majorHAnsi"/>
          <w:bCs/>
          <w:lang w:eastAsia="en-GB"/>
        </w:rPr>
        <w:t>s</w:t>
      </w:r>
      <w:r w:rsidRPr="0010622C">
        <w:rPr>
          <w:rFonts w:eastAsia="Times New Roman" w:asciiTheme="majorHAnsi" w:hAnsiTheme="majorHAnsi" w:cstheme="majorHAnsi"/>
          <w:bCs/>
          <w:lang w:eastAsia="en-GB"/>
        </w:rPr>
        <w:t xml:space="preserve"> </w:t>
      </w:r>
      <w:r>
        <w:rPr>
          <w:rFonts w:eastAsia="Times New Roman" w:asciiTheme="majorHAnsi" w:hAnsiTheme="majorHAnsi" w:cstheme="majorHAnsi"/>
          <w:bCs/>
          <w:lang w:eastAsia="en-GB"/>
        </w:rPr>
        <w:t>required for</w:t>
      </w:r>
      <w:r w:rsidRPr="0010622C">
        <w:rPr>
          <w:rFonts w:eastAsia="Times New Roman" w:asciiTheme="majorHAnsi" w:hAnsiTheme="majorHAnsi" w:cstheme="majorHAnsi"/>
          <w:bCs/>
          <w:lang w:eastAsia="en-GB"/>
        </w:rPr>
        <w:t xml:space="preserve"> </w:t>
      </w:r>
      <w:r>
        <w:rPr>
          <w:rFonts w:eastAsia="Times New Roman" w:asciiTheme="majorHAnsi" w:hAnsiTheme="majorHAnsi" w:cstheme="majorHAnsi"/>
          <w:bCs/>
          <w:lang w:eastAsia="en-GB"/>
        </w:rPr>
        <w:t>your</w:t>
      </w:r>
      <w:r w:rsidRPr="0010622C">
        <w:rPr>
          <w:rFonts w:eastAsia="Times New Roman" w:asciiTheme="majorHAnsi" w:hAnsiTheme="majorHAnsi" w:cstheme="majorHAnsi"/>
          <w:bCs/>
          <w:lang w:eastAsia="en-GB"/>
        </w:rPr>
        <w:t xml:space="preserve"> Gambling Policy. Only relatively minor modifications are being proposed.  </w:t>
      </w:r>
      <w:r>
        <w:rPr>
          <w:rFonts w:eastAsia="Times New Roman" w:asciiTheme="majorHAnsi" w:hAnsiTheme="majorHAnsi" w:cstheme="majorHAnsi"/>
          <w:bCs/>
          <w:lang w:eastAsia="en-GB"/>
        </w:rPr>
        <w:t xml:space="preserve">This </w:t>
      </w:r>
      <w:r w:rsidRPr="0010622C">
        <w:rPr>
          <w:rFonts w:eastAsia="Times New Roman" w:asciiTheme="majorHAnsi" w:hAnsiTheme="majorHAnsi" w:cstheme="majorHAnsi"/>
          <w:bCs/>
          <w:lang w:eastAsia="en-GB"/>
        </w:rPr>
        <w:t>include</w:t>
      </w:r>
      <w:r>
        <w:rPr>
          <w:rFonts w:eastAsia="Times New Roman" w:asciiTheme="majorHAnsi" w:hAnsiTheme="majorHAnsi" w:cstheme="majorHAnsi"/>
          <w:bCs/>
          <w:lang w:eastAsia="en-GB"/>
        </w:rPr>
        <w:t>s</w:t>
      </w:r>
      <w:r w:rsidRPr="0010622C">
        <w:rPr>
          <w:rFonts w:eastAsia="Times New Roman" w:asciiTheme="majorHAnsi" w:hAnsiTheme="majorHAnsi" w:cstheme="majorHAnsi"/>
          <w:bCs/>
          <w:lang w:eastAsia="en-GB"/>
        </w:rPr>
        <w:t xml:space="preserve"> </w:t>
      </w:r>
      <w:r>
        <w:rPr>
          <w:rFonts w:eastAsia="Times New Roman" w:asciiTheme="majorHAnsi" w:hAnsiTheme="majorHAnsi" w:cstheme="majorHAnsi"/>
          <w:bCs/>
          <w:lang w:eastAsia="en-GB"/>
        </w:rPr>
        <w:t xml:space="preserve">a </w:t>
      </w:r>
      <w:r w:rsidRPr="0010622C">
        <w:rPr>
          <w:rFonts w:eastAsia="Times New Roman" w:asciiTheme="majorHAnsi" w:hAnsiTheme="majorHAnsi" w:cstheme="majorHAnsi"/>
          <w:bCs/>
          <w:lang w:eastAsia="en-GB"/>
        </w:rPr>
        <w:t xml:space="preserve">minor amendment to the Local area Profile. </w:t>
      </w:r>
    </w:p>
    <w:p w:rsidR="0010622C" w:rsidP="004E3263">
      <w:pPr>
        <w:pStyle w:val="ListParagraph"/>
        <w:ind w:left="360"/>
        <w:rPr>
          <w:rFonts w:eastAsia="Times New Roman" w:asciiTheme="majorHAnsi" w:hAnsiTheme="majorHAnsi" w:cstheme="majorHAnsi"/>
          <w:bCs/>
          <w:lang w:eastAsia="en-GB"/>
        </w:rPr>
      </w:pPr>
    </w:p>
    <w:p w:rsidR="0095527A" w:rsidRPr="00C13AF9" w:rsidP="00C13AF9">
      <w:pPr>
        <w:ind w:left="360" w:firstLine="360"/>
        <w:rPr>
          <w:rFonts w:eastAsia="Times New Roman" w:asciiTheme="majorHAnsi" w:hAnsiTheme="majorHAnsi" w:cstheme="majorHAnsi"/>
          <w:b/>
          <w:bCs/>
          <w:lang w:eastAsia="en-GB"/>
        </w:rPr>
      </w:pPr>
      <w:r w:rsidRPr="00C13AF9">
        <w:rPr>
          <w:rFonts w:eastAsia="Times New Roman" w:asciiTheme="majorHAnsi" w:hAnsiTheme="majorHAnsi" w:cstheme="majorHAnsi"/>
          <w:b/>
          <w:bCs/>
          <w:lang w:eastAsia="en-GB"/>
        </w:rPr>
        <w:t xml:space="preserve">Page 3, section 1.1 of your Policy currently states; </w:t>
      </w:r>
    </w:p>
    <w:p w:rsidR="0095527A" w:rsidP="00C13AF9">
      <w:pPr>
        <w:ind w:left="720"/>
        <w:rPr>
          <w:rFonts w:eastAsia="Times New Roman" w:asciiTheme="majorHAnsi" w:hAnsiTheme="majorHAnsi" w:cstheme="majorHAnsi"/>
          <w:bCs/>
          <w:i/>
          <w:lang w:eastAsia="en-GB"/>
        </w:rPr>
      </w:pPr>
      <w:r>
        <w:rPr>
          <w:rFonts w:eastAsia="Times New Roman" w:asciiTheme="majorHAnsi" w:hAnsiTheme="majorHAnsi" w:cstheme="majorHAnsi"/>
          <w:bCs/>
          <w:i/>
          <w:lang w:eastAsia="en-GB"/>
        </w:rPr>
        <w:t>“</w:t>
      </w:r>
      <w:r w:rsidRPr="0095527A">
        <w:rPr>
          <w:rFonts w:eastAsia="Times New Roman" w:asciiTheme="majorHAnsi" w:hAnsiTheme="majorHAnsi" w:cstheme="majorHAnsi"/>
          <w:bCs/>
          <w:i/>
          <w:lang w:eastAsia="en-GB"/>
        </w:rPr>
        <w:t>The population in South Ribble is 103,900 which has remained relatively stable over the last decade following a period of rapid growth in the 1970s and 1980s.</w:t>
      </w:r>
      <w:r>
        <w:rPr>
          <w:rFonts w:eastAsia="Times New Roman" w:asciiTheme="majorHAnsi" w:hAnsiTheme="majorHAnsi" w:cstheme="majorHAnsi"/>
          <w:bCs/>
          <w:i/>
          <w:lang w:eastAsia="en-GB"/>
        </w:rPr>
        <w:t>”</w:t>
      </w:r>
    </w:p>
    <w:p w:rsidR="0095527A" w:rsidRPr="00347322" w:rsidP="00C13AF9">
      <w:pPr>
        <w:ind w:left="720"/>
        <w:rPr>
          <w:rFonts w:eastAsia="Times New Roman" w:asciiTheme="majorHAnsi" w:hAnsiTheme="majorHAnsi" w:cstheme="majorHAnsi"/>
          <w:b/>
          <w:bCs/>
          <w:lang w:eastAsia="en-GB"/>
        </w:rPr>
      </w:pPr>
      <w:r w:rsidRPr="00347322">
        <w:rPr>
          <w:rFonts w:eastAsia="Times New Roman" w:asciiTheme="majorHAnsi" w:hAnsiTheme="majorHAnsi" w:cstheme="majorHAnsi"/>
          <w:b/>
          <w:bCs/>
          <w:lang w:eastAsia="en-GB"/>
        </w:rPr>
        <w:t xml:space="preserve">To be replaced by; </w:t>
      </w:r>
    </w:p>
    <w:p w:rsidR="00347322" w:rsidP="00C13AF9">
      <w:pPr>
        <w:ind w:left="720"/>
        <w:rPr>
          <w:rFonts w:eastAsia="Times New Roman" w:asciiTheme="majorHAnsi" w:hAnsiTheme="majorHAnsi" w:cstheme="majorHAnsi"/>
          <w:bCs/>
          <w:i/>
          <w:lang w:eastAsia="en-GB"/>
        </w:rPr>
      </w:pPr>
      <w:r>
        <w:rPr>
          <w:rFonts w:eastAsia="Times New Roman" w:asciiTheme="majorHAnsi" w:hAnsiTheme="majorHAnsi" w:cstheme="majorHAnsi"/>
          <w:bCs/>
          <w:i/>
          <w:lang w:eastAsia="en-GB"/>
        </w:rPr>
        <w:t>“</w:t>
      </w:r>
      <w:r w:rsidRPr="0095527A">
        <w:rPr>
          <w:rFonts w:eastAsia="Times New Roman" w:asciiTheme="majorHAnsi" w:hAnsiTheme="majorHAnsi" w:cstheme="majorHAnsi"/>
          <w:bCs/>
          <w:i/>
          <w:lang w:eastAsia="en-GB"/>
        </w:rPr>
        <w:t>The population in So</w:t>
      </w:r>
      <w:r w:rsidRPr="0095527A">
        <w:rPr>
          <w:rFonts w:eastAsia="Times New Roman" w:asciiTheme="majorHAnsi" w:hAnsiTheme="majorHAnsi" w:cstheme="majorHAnsi"/>
          <w:bCs/>
          <w:i/>
          <w:lang w:eastAsia="en-GB"/>
        </w:rPr>
        <w:t xml:space="preserve">uth Ribble is </w:t>
      </w:r>
      <w:r w:rsidRPr="0095527A">
        <w:rPr>
          <w:rFonts w:eastAsia="Times New Roman" w:asciiTheme="majorHAnsi" w:hAnsiTheme="majorHAnsi" w:cstheme="majorHAnsi"/>
          <w:b/>
          <w:bCs/>
          <w:i/>
          <w:color w:val="FF0000"/>
          <w:lang w:eastAsia="en-GB"/>
        </w:rPr>
        <w:t>111</w:t>
      </w:r>
      <w:r>
        <w:rPr>
          <w:rFonts w:eastAsia="Times New Roman" w:asciiTheme="majorHAnsi" w:hAnsiTheme="majorHAnsi" w:cstheme="majorHAnsi"/>
          <w:b/>
          <w:bCs/>
          <w:i/>
          <w:color w:val="FF0000"/>
          <w:lang w:eastAsia="en-GB"/>
        </w:rPr>
        <w:t>,</w:t>
      </w:r>
      <w:r w:rsidRPr="0095527A">
        <w:rPr>
          <w:rFonts w:eastAsia="Times New Roman" w:asciiTheme="majorHAnsi" w:hAnsiTheme="majorHAnsi" w:cstheme="majorHAnsi"/>
          <w:b/>
          <w:bCs/>
          <w:i/>
          <w:color w:val="FF0000"/>
          <w:lang w:eastAsia="en-GB"/>
        </w:rPr>
        <w:t>086</w:t>
      </w:r>
      <w:r w:rsidRPr="0095527A">
        <w:rPr>
          <w:rFonts w:eastAsia="Times New Roman" w:asciiTheme="majorHAnsi" w:hAnsiTheme="majorHAnsi" w:cstheme="majorHAnsi"/>
          <w:bCs/>
          <w:i/>
          <w:lang w:eastAsia="en-GB"/>
        </w:rPr>
        <w:t xml:space="preserve"> which has remained relatively stable over the last decade following a period of rapid growth in the 1970s and 1980s.</w:t>
      </w:r>
      <w:r>
        <w:rPr>
          <w:rFonts w:eastAsia="Times New Roman" w:asciiTheme="majorHAnsi" w:hAnsiTheme="majorHAnsi" w:cstheme="majorHAnsi"/>
          <w:bCs/>
          <w:i/>
          <w:lang w:eastAsia="en-GB"/>
        </w:rPr>
        <w:t>”</w:t>
      </w:r>
    </w:p>
    <w:p w:rsidR="00631788" w:rsidP="001A6747">
      <w:pPr>
        <w:rPr>
          <w:rFonts w:eastAsia="Times New Roman" w:asciiTheme="majorHAnsi" w:hAnsiTheme="majorHAnsi" w:cstheme="majorHAnsi"/>
          <w:bCs/>
          <w:i/>
          <w:lang w:eastAsia="en-GB"/>
        </w:rPr>
      </w:pPr>
      <w:r>
        <w:rPr>
          <w:rFonts w:eastAsia="Times New Roman" w:asciiTheme="majorHAnsi" w:hAnsiTheme="majorHAnsi" w:cstheme="majorHAnsi"/>
          <w:bCs/>
          <w:i/>
          <w:lang w:eastAsia="en-GB"/>
        </w:rPr>
        <w:t>And;</w:t>
      </w:r>
    </w:p>
    <w:p w:rsidR="00D06DB4" w:rsidRPr="009F6A0F" w:rsidP="009F6A0F">
      <w:pPr>
        <w:ind w:left="360" w:firstLine="360"/>
        <w:rPr>
          <w:rFonts w:eastAsia="Times New Roman" w:asciiTheme="majorHAnsi" w:hAnsiTheme="majorHAnsi" w:cstheme="majorHAnsi"/>
          <w:b/>
          <w:bCs/>
          <w:lang w:eastAsia="en-GB"/>
        </w:rPr>
      </w:pPr>
      <w:r w:rsidRPr="00347322">
        <w:rPr>
          <w:rFonts w:eastAsia="Times New Roman" w:asciiTheme="majorHAnsi" w:hAnsiTheme="majorHAnsi" w:cstheme="majorHAnsi"/>
          <w:b/>
          <w:bCs/>
          <w:lang w:eastAsia="en-GB"/>
        </w:rPr>
        <w:t>Page 4, section 1.1 of your Policy currently s</w:t>
      </w:r>
      <w:r>
        <w:rPr>
          <w:rFonts w:eastAsia="Times New Roman" w:asciiTheme="majorHAnsi" w:hAnsiTheme="majorHAnsi" w:cstheme="majorHAnsi"/>
          <w:b/>
          <w:bCs/>
          <w:lang w:eastAsia="en-GB"/>
        </w:rPr>
        <w:t>hows the following data;</w:t>
      </w:r>
    </w:p>
    <w:p w:rsidR="00EC59EE" w:rsidP="0095527A">
      <w:pPr>
        <w:ind w:left="360"/>
        <w:rPr>
          <w:rFonts w:eastAsia="Times New Roman" w:asciiTheme="majorHAnsi" w:hAnsiTheme="majorHAnsi" w:cstheme="majorHAnsi"/>
          <w:bCs/>
          <w:i/>
          <w:lang w:eastAsia="en-GB"/>
        </w:rPr>
      </w:pPr>
    </w:p>
    <w:p w:rsidR="00EC59EE" w:rsidP="0095527A">
      <w:pPr>
        <w:ind w:left="360"/>
        <w:rPr>
          <w:rFonts w:eastAsia="Times New Roman" w:asciiTheme="majorHAnsi" w:hAnsiTheme="majorHAnsi" w:cstheme="majorHAnsi"/>
          <w:bCs/>
          <w:i/>
          <w:lang w:eastAsia="en-GB"/>
        </w:rPr>
      </w:pPr>
    </w:p>
    <w:p w:rsidR="00EC59EE" w:rsidP="0095527A">
      <w:pPr>
        <w:ind w:left="360"/>
        <w:rPr>
          <w:rFonts w:eastAsia="Times New Roman" w:asciiTheme="majorHAnsi" w:hAnsiTheme="majorHAnsi" w:cstheme="majorHAnsi"/>
          <w:bCs/>
          <w:i/>
          <w:lang w:eastAsia="en-GB"/>
        </w:rPr>
      </w:pPr>
      <w:r w:rsidRPr="00347322">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-695325</wp:posOffset>
            </wp:positionV>
            <wp:extent cx="5731510" cy="4048760"/>
            <wp:effectExtent l="0" t="0" r="254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12084"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4048760"/>
                    </a:xfrm>
                    <a:prstGeom prst="rect">
                      <a:avLst/>
                    </a:prstGeom>
                    <a:noFill/>
                    <a:ln>
                      <a:noFill/>
                    </a:ln>
                  </pic:spPr>
                </pic:pic>
              </a:graphicData>
            </a:graphic>
          </wp:anchor>
        </w:drawing>
      </w:r>
    </w:p>
    <w:p w:rsidR="00EC59EE" w:rsidP="0095527A">
      <w:pPr>
        <w:ind w:left="360"/>
        <w:rPr>
          <w:rFonts w:eastAsia="Times New Roman" w:asciiTheme="majorHAnsi" w:hAnsiTheme="majorHAnsi" w:cstheme="majorHAnsi"/>
          <w:bCs/>
          <w:i/>
          <w:lang w:eastAsia="en-GB"/>
        </w:rPr>
      </w:pPr>
    </w:p>
    <w:p w:rsidR="00D06DB4" w:rsidP="0095527A">
      <w:pPr>
        <w:ind w:left="360"/>
        <w:rPr>
          <w:rFonts w:eastAsia="Times New Roman" w:asciiTheme="majorHAnsi" w:hAnsiTheme="majorHAnsi" w:cstheme="majorHAnsi"/>
          <w:bCs/>
          <w:i/>
          <w:lang w:eastAsia="en-GB"/>
        </w:rPr>
      </w:pPr>
    </w:p>
    <w:p w:rsidR="00631788" w:rsidP="0095527A">
      <w:pPr>
        <w:ind w:left="360"/>
        <w:rPr>
          <w:rFonts w:eastAsia="Times New Roman" w:asciiTheme="majorHAnsi" w:hAnsiTheme="majorHAnsi" w:cstheme="majorHAnsi"/>
          <w:bCs/>
          <w:i/>
          <w:lang w:eastAsia="en-GB"/>
        </w:rPr>
      </w:pPr>
    </w:p>
    <w:p w:rsidR="00631788" w:rsidP="0095527A">
      <w:pPr>
        <w:ind w:left="360"/>
        <w:rPr>
          <w:rFonts w:eastAsia="Times New Roman" w:asciiTheme="majorHAnsi" w:hAnsiTheme="majorHAnsi" w:cstheme="majorHAnsi"/>
          <w:bCs/>
          <w:i/>
          <w:lang w:eastAsia="en-GB"/>
        </w:rPr>
      </w:pPr>
    </w:p>
    <w:p w:rsidR="00631788" w:rsidP="0095527A">
      <w:pPr>
        <w:ind w:left="360"/>
        <w:rPr>
          <w:rFonts w:eastAsia="Times New Roman" w:asciiTheme="majorHAnsi" w:hAnsiTheme="majorHAnsi" w:cstheme="majorHAnsi"/>
          <w:bCs/>
          <w:i/>
          <w:lang w:eastAsia="en-GB"/>
        </w:rPr>
      </w:pPr>
    </w:p>
    <w:p w:rsidR="00631788" w:rsidP="0057306A">
      <w:pPr>
        <w:rPr>
          <w:rFonts w:eastAsia="Times New Roman" w:asciiTheme="majorHAnsi" w:hAnsiTheme="majorHAnsi" w:cstheme="majorHAnsi"/>
          <w:bCs/>
          <w:i/>
          <w:lang w:eastAsia="en-GB"/>
        </w:rPr>
      </w:pPr>
    </w:p>
    <w:p w:rsidR="00631788" w:rsidRPr="00631788" w:rsidP="0095527A">
      <w:pPr>
        <w:ind w:left="360"/>
        <w:rPr>
          <w:rFonts w:eastAsia="Times New Roman" w:asciiTheme="majorHAnsi" w:hAnsiTheme="majorHAnsi" w:cstheme="majorHAnsi"/>
          <w:b/>
          <w:bCs/>
          <w:lang w:eastAsia="en-GB"/>
        </w:rPr>
      </w:pPr>
      <w:r w:rsidRPr="00631788">
        <w:rPr>
          <w:rFonts w:eastAsia="Times New Roman" w:asciiTheme="majorHAnsi" w:hAnsiTheme="majorHAnsi" w:cstheme="majorHAnsi"/>
          <w:b/>
          <w:bCs/>
          <w:lang w:eastAsia="en-GB"/>
        </w:rPr>
        <w:tab/>
      </w:r>
      <w:r>
        <w:rPr>
          <w:rFonts w:eastAsia="Times New Roman" w:asciiTheme="majorHAnsi" w:hAnsiTheme="majorHAnsi" w:cstheme="majorHAnsi"/>
          <w:b/>
          <w:bCs/>
          <w:lang w:eastAsia="en-GB"/>
        </w:rPr>
        <w:t xml:space="preserve">A change is required to </w:t>
      </w:r>
      <w:r>
        <w:rPr>
          <w:rFonts w:eastAsia="Times New Roman" w:asciiTheme="majorHAnsi" w:hAnsiTheme="majorHAnsi" w:cstheme="majorHAnsi"/>
          <w:b/>
          <w:bCs/>
          <w:lang w:eastAsia="en-GB"/>
        </w:rPr>
        <w:t>the map to update the local area map to</w:t>
      </w:r>
      <w:r w:rsidRPr="00631788">
        <w:rPr>
          <w:rFonts w:eastAsia="Times New Roman" w:asciiTheme="majorHAnsi" w:hAnsiTheme="majorHAnsi" w:cstheme="majorHAnsi"/>
          <w:b/>
          <w:bCs/>
          <w:lang w:eastAsia="en-GB"/>
        </w:rPr>
        <w:t xml:space="preserve">; </w:t>
      </w:r>
    </w:p>
    <w:p w:rsidR="00631788" w:rsidRPr="0025368D" w:rsidP="0025368D">
      <w:pPr>
        <w:ind w:left="360" w:firstLine="360"/>
        <w:rPr>
          <w:rFonts w:eastAsia="Times New Roman" w:asciiTheme="majorHAnsi" w:hAnsiTheme="majorHAnsi" w:cstheme="majorHAnsi"/>
          <w:b/>
          <w:bCs/>
          <w:i/>
          <w:lang w:eastAsia="en-GB"/>
        </w:rPr>
      </w:pPr>
      <w:r w:rsidRPr="0025368D">
        <w:rPr>
          <w:rFonts w:eastAsia="Times New Roman" w:asciiTheme="majorHAnsi" w:hAnsiTheme="majorHAnsi" w:cstheme="majorHAnsi"/>
          <w:b/>
          <w:bCs/>
          <w:i/>
          <w:lang w:eastAsia="en-GB"/>
        </w:rPr>
        <w:t xml:space="preserve">To be replaced by; </w:t>
      </w:r>
    </w:p>
    <w:p w:rsidR="00631788" w:rsidP="0095527A">
      <w:pPr>
        <w:ind w:left="360"/>
        <w:rPr>
          <w:rFonts w:eastAsia="Times New Roman" w:asciiTheme="majorHAnsi" w:hAnsiTheme="majorHAnsi" w:cstheme="majorHAnsi"/>
          <w:bCs/>
          <w:i/>
          <w:lang w:eastAsia="en-GB"/>
        </w:rPr>
      </w:pPr>
    </w:p>
    <w:p w:rsidR="003C2545" w:rsidP="003C2545">
      <w:pPr>
        <w:ind w:left="360" w:firstLine="360"/>
        <w:rPr>
          <w:rFonts w:eastAsia="Times New Roman" w:asciiTheme="majorHAnsi" w:hAnsiTheme="majorHAnsi" w:cstheme="majorHAnsi"/>
          <w:b/>
          <w:bCs/>
          <w:i/>
          <w:lang w:eastAsia="en-GB"/>
        </w:rPr>
      </w:pPr>
    </w:p>
    <w:p w:rsidR="001A6747" w:rsidP="003C2545">
      <w:pPr>
        <w:ind w:left="360" w:firstLine="360"/>
        <w:rPr>
          <w:rFonts w:eastAsia="Times New Roman" w:asciiTheme="majorHAnsi" w:hAnsiTheme="majorHAnsi" w:cstheme="majorHAnsi"/>
          <w:b/>
          <w:bCs/>
          <w:i/>
          <w:lang w:eastAsia="en-GB"/>
        </w:rPr>
      </w:pPr>
    </w:p>
    <w:p w:rsidR="00631788" w:rsidP="003C2545">
      <w:pPr>
        <w:ind w:left="360" w:firstLine="360"/>
        <w:rPr>
          <w:rFonts w:eastAsia="Times New Roman" w:asciiTheme="majorHAnsi" w:hAnsiTheme="majorHAnsi" w:cstheme="majorHAnsi"/>
          <w:b/>
          <w:bCs/>
          <w:i/>
          <w:lang w:eastAsia="en-GB"/>
        </w:rPr>
      </w:pPr>
      <w:r>
        <w:rPr>
          <w:rFonts w:eastAsia="Times New Roman" w:asciiTheme="majorHAnsi" w:hAnsiTheme="majorHAnsi" w:cstheme="majorHAnsi"/>
          <w:b/>
          <w:bCs/>
          <w:i/>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286385</wp:posOffset>
            </wp:positionV>
            <wp:extent cx="6115140" cy="4324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07958" name="Picture 1"/>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5140"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545">
        <w:rPr>
          <w:rFonts w:eastAsia="Times New Roman" w:asciiTheme="majorHAnsi" w:hAnsiTheme="majorHAnsi" w:cstheme="majorHAnsi"/>
          <w:b/>
          <w:bCs/>
          <w:i/>
          <w:lang w:eastAsia="en-GB"/>
        </w:rPr>
        <w:t>To be replaced by</w:t>
      </w:r>
      <w:r>
        <w:rPr>
          <w:rFonts w:eastAsia="Times New Roman" w:asciiTheme="majorHAnsi" w:hAnsiTheme="majorHAnsi" w:cstheme="majorHAnsi"/>
          <w:b/>
          <w:bCs/>
          <w:i/>
          <w:lang w:eastAsia="en-GB"/>
        </w:rPr>
        <w:t xml:space="preserve"> an updated map produced on the 16</w:t>
      </w:r>
      <w:r w:rsidRPr="003C2545">
        <w:rPr>
          <w:rFonts w:eastAsia="Times New Roman" w:asciiTheme="majorHAnsi" w:hAnsiTheme="majorHAnsi" w:cstheme="majorHAnsi"/>
          <w:b/>
          <w:bCs/>
          <w:i/>
          <w:vertAlign w:val="superscript"/>
          <w:lang w:eastAsia="en-GB"/>
        </w:rPr>
        <w:t>th</w:t>
      </w:r>
      <w:r>
        <w:rPr>
          <w:rFonts w:eastAsia="Times New Roman" w:asciiTheme="majorHAnsi" w:hAnsiTheme="majorHAnsi" w:cstheme="majorHAnsi"/>
          <w:b/>
          <w:bCs/>
          <w:i/>
          <w:lang w:eastAsia="en-GB"/>
        </w:rPr>
        <w:t xml:space="preserve"> November 2021</w:t>
      </w:r>
      <w:r w:rsidRPr="003C2545">
        <w:rPr>
          <w:rFonts w:eastAsia="Times New Roman" w:asciiTheme="majorHAnsi" w:hAnsiTheme="majorHAnsi" w:cstheme="majorHAnsi"/>
          <w:b/>
          <w:bCs/>
          <w:i/>
          <w:lang w:eastAsia="en-GB"/>
        </w:rPr>
        <w:t>;</w:t>
      </w:r>
    </w:p>
    <w:p w:rsidR="003C2545" w:rsidP="003C2545">
      <w:pPr>
        <w:ind w:left="360" w:firstLine="360"/>
        <w:rPr>
          <w:rFonts w:eastAsia="Times New Roman" w:asciiTheme="majorHAnsi" w:hAnsiTheme="majorHAnsi" w:cstheme="majorHAnsi"/>
          <w:b/>
          <w:bCs/>
          <w:i/>
          <w:lang w:eastAsia="en-GB"/>
        </w:rPr>
      </w:pPr>
    </w:p>
    <w:p w:rsidR="003C2545" w:rsidP="003C2545">
      <w:pPr>
        <w:ind w:left="360" w:firstLine="360"/>
        <w:rPr>
          <w:rFonts w:eastAsia="Times New Roman" w:asciiTheme="majorHAnsi" w:hAnsiTheme="majorHAnsi" w:cstheme="majorHAnsi"/>
          <w:b/>
          <w:bCs/>
          <w:i/>
          <w:lang w:eastAsia="en-GB"/>
        </w:rPr>
      </w:pPr>
    </w:p>
    <w:p w:rsidR="003C2545" w:rsidP="003C2545">
      <w:pPr>
        <w:ind w:left="360" w:firstLine="360"/>
        <w:rPr>
          <w:rFonts w:eastAsia="Times New Roman" w:asciiTheme="majorHAnsi" w:hAnsiTheme="majorHAnsi" w:cstheme="majorHAnsi"/>
          <w:b/>
          <w:bCs/>
          <w:i/>
          <w:lang w:eastAsia="en-GB"/>
        </w:rPr>
      </w:pPr>
    </w:p>
    <w:p w:rsidR="003C2545" w:rsidP="003C2545">
      <w:pPr>
        <w:ind w:left="360" w:firstLine="360"/>
        <w:rPr>
          <w:rFonts w:eastAsia="Times New Roman" w:asciiTheme="majorHAnsi" w:hAnsiTheme="majorHAnsi" w:cstheme="majorHAnsi"/>
          <w:b/>
          <w:bCs/>
          <w:i/>
          <w:lang w:eastAsia="en-GB"/>
        </w:rPr>
      </w:pPr>
    </w:p>
    <w:p w:rsidR="003C2545" w:rsidP="003C2545">
      <w:pPr>
        <w:ind w:left="360" w:firstLine="360"/>
        <w:rPr>
          <w:rFonts w:eastAsia="Times New Roman" w:asciiTheme="majorHAnsi" w:hAnsiTheme="majorHAnsi" w:cstheme="majorHAnsi"/>
          <w:b/>
          <w:bCs/>
          <w:i/>
          <w:lang w:eastAsia="en-GB"/>
        </w:rPr>
      </w:pPr>
    </w:p>
    <w:p w:rsidR="003C2545" w:rsidP="003C2545">
      <w:pPr>
        <w:ind w:left="360" w:firstLine="360"/>
        <w:rPr>
          <w:rFonts w:eastAsia="Times New Roman" w:asciiTheme="majorHAnsi" w:hAnsiTheme="majorHAnsi" w:cstheme="majorHAnsi"/>
          <w:b/>
          <w:bCs/>
          <w:i/>
          <w:lang w:eastAsia="en-GB"/>
        </w:rPr>
      </w:pPr>
    </w:p>
    <w:p w:rsidR="003C2545" w:rsidP="003C2545">
      <w:pPr>
        <w:ind w:left="360" w:firstLine="360"/>
        <w:rPr>
          <w:rFonts w:eastAsia="Times New Roman" w:asciiTheme="majorHAnsi" w:hAnsiTheme="majorHAnsi" w:cstheme="majorHAnsi"/>
          <w:b/>
          <w:bCs/>
          <w:i/>
          <w:lang w:eastAsia="en-GB"/>
        </w:rPr>
      </w:pPr>
    </w:p>
    <w:p w:rsidR="003C2545" w:rsidP="003C2545">
      <w:pPr>
        <w:ind w:left="360" w:firstLine="360"/>
        <w:rPr>
          <w:rFonts w:eastAsia="Times New Roman" w:asciiTheme="majorHAnsi" w:hAnsiTheme="majorHAnsi" w:cstheme="majorHAnsi"/>
          <w:b/>
          <w:bCs/>
          <w:i/>
          <w:lang w:eastAsia="en-GB"/>
        </w:rPr>
      </w:pPr>
    </w:p>
    <w:p w:rsidR="003C2545" w:rsidP="003C2545">
      <w:pPr>
        <w:ind w:left="360" w:firstLine="360"/>
        <w:rPr>
          <w:rFonts w:eastAsia="Times New Roman" w:asciiTheme="majorHAnsi" w:hAnsiTheme="majorHAnsi" w:cstheme="majorHAnsi"/>
          <w:b/>
          <w:bCs/>
          <w:i/>
          <w:lang w:eastAsia="en-GB"/>
        </w:rPr>
      </w:pPr>
    </w:p>
    <w:p w:rsidR="003C2545" w:rsidRPr="003C2545" w:rsidP="003C2545">
      <w:pPr>
        <w:ind w:left="360" w:firstLine="360"/>
        <w:rPr>
          <w:rFonts w:eastAsia="Times New Roman" w:asciiTheme="majorHAnsi" w:hAnsiTheme="majorHAnsi" w:cstheme="majorHAnsi"/>
          <w:b/>
          <w:bCs/>
          <w:i/>
          <w:lang w:eastAsia="en-GB"/>
        </w:rPr>
      </w:pPr>
    </w:p>
    <w:p w:rsidR="003C2545" w:rsidP="0095527A">
      <w:pPr>
        <w:ind w:left="360"/>
        <w:rPr>
          <w:rFonts w:eastAsia="Times New Roman" w:asciiTheme="majorHAnsi" w:hAnsiTheme="majorHAnsi" w:cstheme="majorHAnsi"/>
          <w:bCs/>
          <w:i/>
          <w:lang w:eastAsia="en-GB"/>
        </w:rPr>
      </w:pPr>
    </w:p>
    <w:p w:rsidR="00631788" w:rsidP="0095527A">
      <w:pPr>
        <w:ind w:left="360"/>
        <w:rPr>
          <w:rFonts w:eastAsia="Times New Roman" w:asciiTheme="majorHAnsi" w:hAnsiTheme="majorHAnsi" w:cstheme="majorHAnsi"/>
          <w:bCs/>
          <w:i/>
          <w:lang w:eastAsia="en-GB"/>
        </w:rPr>
      </w:pPr>
    </w:p>
    <w:p w:rsidR="000179AF" w:rsidRPr="00D4431F" w:rsidP="00CF42B2">
      <w:pPr>
        <w:spacing w:after="0" w:line="240" w:lineRule="auto"/>
        <w:ind w:left="720"/>
        <w:jc w:val="both"/>
        <w:rPr>
          <w:rFonts w:cstheme="minorHAnsi"/>
          <w:bCs/>
          <w:i/>
        </w:rPr>
      </w:pPr>
    </w:p>
    <w:p w:rsidR="001A6747" w:rsidP="00CF42B2">
      <w:pPr>
        <w:pStyle w:val="Heading2"/>
        <w:spacing w:before="0" w:beforeAutospacing="0"/>
        <w:rPr>
          <w:rFonts w:asciiTheme="majorHAnsi" w:hAnsiTheme="majorHAnsi" w:cstheme="majorHAnsi"/>
          <w:sz w:val="22"/>
          <w:szCs w:val="22"/>
        </w:rPr>
      </w:pPr>
    </w:p>
    <w:p w:rsidR="001A6747" w:rsidP="00CF42B2">
      <w:pPr>
        <w:pStyle w:val="Heading2"/>
        <w:spacing w:before="0" w:beforeAutospacing="0"/>
        <w:rPr>
          <w:rFonts w:asciiTheme="majorHAnsi" w:hAnsiTheme="majorHAnsi" w:cstheme="majorHAnsi"/>
          <w:sz w:val="22"/>
          <w:szCs w:val="22"/>
        </w:rPr>
      </w:pPr>
    </w:p>
    <w:p w:rsidR="000179AF" w:rsidRPr="00ED4FF1" w:rsidP="00CF42B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Equality and diversity</w:t>
      </w:r>
    </w:p>
    <w:p w:rsidR="000179AF" w:rsidP="00CF42B2">
      <w:pPr>
        <w:numPr>
          <w:ilvl w:val="0"/>
          <w:numId w:val="8"/>
        </w:numPr>
        <w:spacing w:after="0" w:line="240" w:lineRule="auto"/>
        <w:jc w:val="both"/>
        <w:rPr>
          <w:rFonts w:cstheme="minorHAnsi"/>
          <w:bCs/>
          <w:iCs/>
        </w:rPr>
      </w:pPr>
      <w:r>
        <w:rPr>
          <w:rFonts w:cstheme="minorHAnsi"/>
          <w:bCs/>
          <w:iCs/>
        </w:rPr>
        <w:t>N/A</w:t>
      </w:r>
    </w:p>
    <w:p w:rsidR="004758E2" w:rsidP="004758E2">
      <w:pPr>
        <w:pStyle w:val="Heading2"/>
        <w:rPr>
          <w:rFonts w:asciiTheme="majorHAnsi" w:hAnsiTheme="majorHAnsi" w:cstheme="majorHAnsi"/>
          <w:sz w:val="22"/>
          <w:szCs w:val="22"/>
        </w:rPr>
      </w:pPr>
      <w:r>
        <w:rPr>
          <w:rFonts w:asciiTheme="majorHAnsi" w:hAnsiTheme="majorHAnsi" w:cstheme="majorHAnsi"/>
          <w:sz w:val="22"/>
          <w:szCs w:val="22"/>
        </w:rPr>
        <w:t>Risk</w:t>
      </w:r>
    </w:p>
    <w:p w:rsidR="000179AF" w:rsidRPr="004758E2" w:rsidP="004758E2">
      <w:pPr>
        <w:pStyle w:val="Heading2"/>
        <w:numPr>
          <w:ilvl w:val="0"/>
          <w:numId w:val="8"/>
        </w:numPr>
        <w:rPr>
          <w:rFonts w:asciiTheme="majorHAnsi" w:hAnsiTheme="majorHAnsi" w:cstheme="majorHAnsi"/>
          <w:b w:val="0"/>
          <w:bCs w:val="0"/>
          <w:sz w:val="22"/>
          <w:szCs w:val="22"/>
        </w:rPr>
      </w:pPr>
      <w:r>
        <w:rPr>
          <w:rFonts w:asciiTheme="majorHAnsi" w:hAnsiTheme="majorHAnsi" w:cstheme="majorHAnsi"/>
          <w:b w:val="0"/>
          <w:bCs w:val="0"/>
          <w:sz w:val="22"/>
          <w:szCs w:val="22"/>
        </w:rPr>
        <w:t>N/A</w:t>
      </w:r>
    </w:p>
    <w:p w:rsidR="000179AF" w:rsidRPr="00ED4FF1" w:rsidP="00CF42B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Comments of the Statutory Finance Officer</w:t>
      </w:r>
    </w:p>
    <w:p w:rsidR="000179AF" w:rsidRPr="00883AC9" w:rsidP="00CF42B2">
      <w:pPr>
        <w:numPr>
          <w:ilvl w:val="0"/>
          <w:numId w:val="8"/>
        </w:numPr>
        <w:spacing w:after="0" w:line="240" w:lineRule="auto"/>
        <w:jc w:val="both"/>
        <w:rPr>
          <w:rFonts w:cstheme="minorHAnsi"/>
          <w:bCs/>
          <w:iCs/>
        </w:rPr>
      </w:pPr>
      <w:r>
        <w:rPr>
          <w:rFonts w:cstheme="minorHAnsi"/>
          <w:bCs/>
          <w:iCs/>
        </w:rPr>
        <w:t>No comment</w:t>
      </w:r>
    </w:p>
    <w:p w:rsidR="000179AF" w:rsidRPr="00D4431F" w:rsidP="00CF42B2">
      <w:pPr>
        <w:spacing w:after="0" w:line="240" w:lineRule="auto"/>
        <w:ind w:left="720"/>
        <w:jc w:val="both"/>
        <w:rPr>
          <w:rFonts w:cstheme="minorHAnsi"/>
          <w:bCs/>
        </w:rPr>
      </w:pPr>
    </w:p>
    <w:p w:rsidR="000179AF" w:rsidRPr="00ED4FF1" w:rsidP="00CF42B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 xml:space="preserve">Comments of </w:t>
      </w:r>
      <w:r w:rsidRPr="00ED4FF1">
        <w:rPr>
          <w:rFonts w:asciiTheme="majorHAnsi" w:hAnsiTheme="majorHAnsi" w:cstheme="majorHAnsi"/>
          <w:sz w:val="22"/>
          <w:szCs w:val="22"/>
        </w:rPr>
        <w:t>the Monitoring Officer</w:t>
      </w:r>
    </w:p>
    <w:p w:rsidR="000179AF" w:rsidP="00CF42B2">
      <w:pPr>
        <w:numPr>
          <w:ilvl w:val="0"/>
          <w:numId w:val="8"/>
        </w:numPr>
        <w:spacing w:after="0" w:line="240" w:lineRule="auto"/>
        <w:jc w:val="both"/>
        <w:rPr>
          <w:rFonts w:cstheme="minorHAnsi"/>
          <w:bCs/>
          <w:iCs/>
        </w:rPr>
      </w:pPr>
      <w:r>
        <w:rPr>
          <w:rFonts w:cstheme="minorHAnsi"/>
          <w:bCs/>
          <w:iCs/>
        </w:rPr>
        <w:t>The duty to review the policy every three years is referred to in the body of the report as well as the consideration of the policy in making determinations under the Gambling Act 2005.</w:t>
      </w:r>
      <w:r w:rsidRPr="00883AC9">
        <w:rPr>
          <w:rFonts w:cstheme="minorHAnsi"/>
          <w:bCs/>
          <w:iCs/>
        </w:rPr>
        <w:t xml:space="preserve"> </w:t>
      </w:r>
    </w:p>
    <w:p w:rsidR="00D865B0" w:rsidRPr="00883AC9" w:rsidP="00CF42B2">
      <w:pPr>
        <w:numPr>
          <w:ilvl w:val="0"/>
          <w:numId w:val="8"/>
        </w:numPr>
        <w:spacing w:after="0" w:line="240" w:lineRule="auto"/>
        <w:jc w:val="both"/>
        <w:rPr>
          <w:rFonts w:cstheme="minorHAnsi"/>
          <w:bCs/>
          <w:iCs/>
        </w:rPr>
      </w:pPr>
      <w:r>
        <w:rPr>
          <w:rFonts w:cstheme="minorHAnsi"/>
          <w:bCs/>
          <w:iCs/>
        </w:rPr>
        <w:t>Functions under section 349 of the Gambling Ac</w:t>
      </w:r>
      <w:r>
        <w:rPr>
          <w:rFonts w:cstheme="minorHAnsi"/>
          <w:bCs/>
          <w:iCs/>
        </w:rPr>
        <w:t>t 2005 including approval of the policy are reserved to full Council by virtue of Section 154(2)(c) of the 2005 Act.</w:t>
      </w:r>
    </w:p>
    <w:p w:rsidR="000179AF" w:rsidRPr="00D1305C" w:rsidP="000179AF">
      <w:pPr>
        <w:spacing w:after="0" w:line="240" w:lineRule="auto"/>
        <w:ind w:left="720"/>
        <w:jc w:val="both"/>
        <w:rPr>
          <w:rFonts w:cstheme="minorHAnsi"/>
          <w:bCs/>
        </w:rPr>
      </w:pPr>
    </w:p>
    <w:p w:rsidR="003046AF" w:rsidP="000179AF">
      <w:pPr>
        <w:rPr>
          <w:rFonts w:eastAsia="Times New Roman" w:cstheme="minorHAnsi"/>
          <w:bCs/>
          <w:color w:val="000000" w:themeColor="text1"/>
          <w:kern w:val="36"/>
          <w:lang w:eastAsia="en-GB"/>
        </w:rPr>
      </w:pPr>
      <w:r w:rsidRPr="00ED4FF1">
        <w:rPr>
          <w:rStyle w:val="Heading2Char"/>
          <w:rFonts w:asciiTheme="majorHAnsi" w:eastAsiaTheme="minorHAnsi" w:hAnsiTheme="majorHAnsi" w:cstheme="majorHAnsi"/>
          <w:sz w:val="22"/>
          <w:szCs w:val="22"/>
        </w:rPr>
        <w:t>Background documents</w:t>
      </w:r>
      <w:r w:rsidRPr="00ED4FF1">
        <w:rPr>
          <w:rFonts w:eastAsia="Times New Roman" w:cstheme="minorHAnsi"/>
          <w:b/>
          <w:bCs/>
          <w:color w:val="000000" w:themeColor="text1"/>
          <w:kern w:val="36"/>
          <w:sz w:val="14"/>
          <w:szCs w:val="14"/>
          <w:lang w:eastAsia="en-GB"/>
        </w:rPr>
        <w:t xml:space="preserve"> </w:t>
      </w:r>
    </w:p>
    <w:p w:rsidR="000179AF" w:rsidRPr="00D1305C" w:rsidP="000179AF">
      <w:pPr>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There are no background papers to this report</w:t>
      </w:r>
    </w:p>
    <w:p w:rsidR="000179AF" w:rsidRPr="00ED4FF1" w:rsidP="00ED4FF1">
      <w:pPr>
        <w:pStyle w:val="Heading2"/>
        <w:spacing w:before="0" w:beforeAutospacing="0"/>
        <w:rPr>
          <w:rFonts w:asciiTheme="majorHAnsi" w:hAnsiTheme="majorHAnsi" w:cstheme="majorHAnsi"/>
        </w:rPr>
      </w:pPr>
      <w:r w:rsidRPr="00ED4FF1">
        <w:rPr>
          <w:rFonts w:asciiTheme="majorHAnsi" w:hAnsiTheme="majorHAnsi" w:cstheme="majorHAnsi"/>
          <w:sz w:val="22"/>
          <w:szCs w:val="22"/>
        </w:rPr>
        <w:t xml:space="preserve">Appendices </w:t>
      </w:r>
    </w:p>
    <w:p w:rsidR="00D4431F" w:rsidP="00D4431F">
      <w:pPr>
        <w:spacing w:line="240" w:lineRule="auto"/>
        <w:jc w:val="both"/>
        <w:rPr>
          <w:rFonts w:eastAsia="Times New Roman" w:cstheme="minorHAnsi"/>
          <w:bCs/>
          <w:iCs/>
          <w:color w:val="000000" w:themeColor="text1"/>
          <w:kern w:val="36"/>
          <w:lang w:eastAsia="en-GB"/>
        </w:rPr>
      </w:pPr>
      <w:r>
        <w:rPr>
          <w:rFonts w:eastAsia="Times New Roman" w:cstheme="minorHAnsi"/>
          <w:bCs/>
          <w:iCs/>
          <w:color w:val="000000" w:themeColor="text1"/>
          <w:kern w:val="36"/>
          <w:lang w:eastAsia="en-GB"/>
        </w:rPr>
        <w:t xml:space="preserve">There are no appendices to this report </w:t>
      </w:r>
    </w:p>
    <w:p w:rsidR="005849F3" w:rsidRPr="00D4431F" w:rsidP="00D4431F">
      <w:pPr>
        <w:spacing w:line="240" w:lineRule="auto"/>
        <w:jc w:val="both"/>
        <w:rPr>
          <w:rFonts w:cstheme="minorHAnsi"/>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3877"/>
        <w:gridCol w:w="1422"/>
        <w:gridCol w:w="1247"/>
      </w:tblGrid>
      <w:tr w:rsidTr="008E66FA">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856" w:type="dxa"/>
            <w:shd w:val="clear" w:color="auto" w:fill="auto"/>
          </w:tcPr>
          <w:p w:rsidR="00D4431F" w:rsidRPr="00D4431F" w:rsidP="00D4431F">
            <w:pPr>
              <w:spacing w:line="240" w:lineRule="auto"/>
              <w:jc w:val="both"/>
              <w:rPr>
                <w:rFonts w:cstheme="minorHAnsi"/>
                <w:bCs/>
              </w:rPr>
            </w:pPr>
            <w:r w:rsidRPr="00D4431F">
              <w:rPr>
                <w:rFonts w:cstheme="minorHAnsi"/>
                <w:bCs/>
              </w:rPr>
              <w:t>Report Author:</w:t>
            </w:r>
          </w:p>
        </w:tc>
        <w:tc>
          <w:tcPr>
            <w:tcW w:w="2835" w:type="dxa"/>
          </w:tcPr>
          <w:p w:rsidR="00D4431F" w:rsidRPr="00D4431F" w:rsidP="00D4431F">
            <w:pPr>
              <w:spacing w:line="240" w:lineRule="auto"/>
              <w:jc w:val="both"/>
              <w:rPr>
                <w:rFonts w:cstheme="minorHAnsi"/>
                <w:bCs/>
              </w:rPr>
            </w:pPr>
            <w:r w:rsidRPr="00D4431F">
              <w:rPr>
                <w:rFonts w:cstheme="minorHAnsi"/>
                <w:bCs/>
              </w:rPr>
              <w:t>Email:</w:t>
            </w:r>
          </w:p>
        </w:tc>
        <w:tc>
          <w:tcPr>
            <w:tcW w:w="1560" w:type="dxa"/>
            <w:shd w:val="clear" w:color="auto" w:fill="auto"/>
          </w:tcPr>
          <w:p w:rsidR="00D4431F" w:rsidRPr="00D4431F" w:rsidP="00D4431F">
            <w:pPr>
              <w:spacing w:line="240" w:lineRule="auto"/>
              <w:jc w:val="both"/>
              <w:rPr>
                <w:rFonts w:cstheme="minorHAnsi"/>
                <w:bCs/>
              </w:rPr>
            </w:pPr>
            <w:r w:rsidRPr="00D4431F">
              <w:rPr>
                <w:rFonts w:cstheme="minorHAnsi"/>
                <w:bCs/>
              </w:rPr>
              <w:t>Telephone:</w:t>
            </w:r>
          </w:p>
        </w:tc>
        <w:tc>
          <w:tcPr>
            <w:tcW w:w="1269" w:type="dxa"/>
            <w:shd w:val="clear" w:color="auto" w:fill="auto"/>
          </w:tcPr>
          <w:p w:rsidR="00D4431F" w:rsidRPr="00D4431F" w:rsidP="00D4431F">
            <w:pPr>
              <w:spacing w:line="240" w:lineRule="auto"/>
              <w:jc w:val="both"/>
              <w:rPr>
                <w:rFonts w:cstheme="minorHAnsi"/>
                <w:bCs/>
              </w:rPr>
            </w:pPr>
            <w:r w:rsidRPr="00D4431F">
              <w:rPr>
                <w:rFonts w:cstheme="minorHAnsi"/>
                <w:bCs/>
              </w:rPr>
              <w:t>Date:</w:t>
            </w:r>
          </w:p>
        </w:tc>
      </w:tr>
      <w:tr w:rsidTr="008E66FA">
        <w:tblPrEx>
          <w:tblW w:w="0" w:type="auto"/>
          <w:tblInd w:w="108" w:type="dxa"/>
          <w:tblLook w:val="04A0"/>
        </w:tblPrEx>
        <w:tc>
          <w:tcPr>
            <w:tcW w:w="3856" w:type="dxa"/>
            <w:shd w:val="clear" w:color="auto" w:fill="auto"/>
          </w:tcPr>
          <w:p w:rsidR="00D4431F" w:rsidRPr="00D4431F" w:rsidP="00D4431F">
            <w:pPr>
              <w:spacing w:line="240" w:lineRule="auto"/>
              <w:jc w:val="both"/>
              <w:rPr>
                <w:rFonts w:cstheme="minorHAnsi"/>
                <w:bCs/>
              </w:rPr>
            </w:pPr>
            <w:r w:rsidRPr="00D4431F">
              <w:rPr>
                <w:rFonts w:cstheme="minorHAnsi"/>
                <w:bCs/>
              </w:rPr>
              <w:fldChar w:fldCharType="begin"/>
            </w:r>
            <w:r w:rsidRPr="00D4431F">
              <w:rPr>
                <w:rFonts w:cstheme="minorHAnsi"/>
                <w:bCs/>
              </w:rPr>
              <w:instrText xml:space="preserve"> DOCPROPERTY  LeadOfficer  \* MERGEFORMAT </w:instrText>
            </w:r>
            <w:r w:rsidRPr="00D4431F">
              <w:rPr>
                <w:rFonts w:cstheme="minorHAnsi"/>
                <w:bCs/>
              </w:rPr>
              <w:fldChar w:fldCharType="separate"/>
            </w:r>
            <w:r>
              <w:rPr>
                <w:rFonts w:cstheme="minorHAnsi"/>
                <w:bCs/>
              </w:rPr>
              <w:t>Stephanie Newby</w:t>
            </w:r>
            <w:r w:rsidRPr="00D4431F">
              <w:rPr>
                <w:rFonts w:cstheme="minorHAnsi"/>
                <w:bCs/>
                <w:lang w:val="en-US"/>
              </w:rPr>
              <w:fldChar w:fldCharType="end"/>
            </w:r>
            <w:r w:rsidRPr="00D4431F">
              <w:rPr>
                <w:rFonts w:cstheme="minorHAnsi"/>
                <w:bCs/>
              </w:rPr>
              <w:t xml:space="preserve"> (</w:t>
            </w:r>
            <w:r>
              <w:rPr>
                <w:rFonts w:cstheme="minorHAnsi"/>
                <w:bCs/>
              </w:rPr>
              <w:fldChar w:fldCharType="begin"/>
            </w:r>
            <w:r>
              <w:rPr>
                <w:rFonts w:cstheme="minorHAnsi"/>
                <w:bCs/>
              </w:rPr>
              <w:instrText xml:space="preserve"> DOCPROPERTY  LeadOfficerPost  \* MERGEFORMAT </w:instrText>
            </w:r>
            <w:r>
              <w:rPr>
                <w:rFonts w:cstheme="minorHAnsi"/>
                <w:bCs/>
              </w:rPr>
              <w:fldChar w:fldCharType="separate"/>
            </w:r>
            <w:r>
              <w:rPr>
                <w:rFonts w:cstheme="minorHAnsi"/>
                <w:bCs/>
              </w:rPr>
              <w:t>Licensing Officer</w:t>
            </w:r>
            <w:r>
              <w:rPr>
                <w:rFonts w:cstheme="minorHAnsi"/>
                <w:bCs/>
              </w:rPr>
              <w:fldChar w:fldCharType="end"/>
            </w:r>
            <w:r w:rsidRPr="00D4431F">
              <w:rPr>
                <w:rFonts w:cstheme="minorHAnsi"/>
                <w:bCs/>
              </w:rPr>
              <w:t>)</w:t>
            </w:r>
          </w:p>
        </w:tc>
        <w:tc>
          <w:tcPr>
            <w:tcW w:w="2835" w:type="dxa"/>
          </w:tcPr>
          <w:p w:rsidR="00D4431F" w:rsidRPr="00D4431F" w:rsidP="00D4431F">
            <w:pPr>
              <w:spacing w:line="240" w:lineRule="auto"/>
              <w:jc w:val="both"/>
              <w:rPr>
                <w:rFonts w:cstheme="minorHAnsi"/>
                <w:bCs/>
              </w:rPr>
            </w:pPr>
            <w:r>
              <w:rPr>
                <w:rFonts w:cstheme="minorHAnsi"/>
                <w:bCs/>
              </w:rPr>
              <w:fldChar w:fldCharType="begin"/>
            </w:r>
            <w:r>
              <w:rPr>
                <w:rFonts w:cstheme="minorHAnsi"/>
                <w:bCs/>
              </w:rPr>
              <w:instrText xml:space="preserve"> DOCPROPERTY  LeadOfficerEmail  \* MERGEFORMAT </w:instrText>
            </w:r>
            <w:r>
              <w:rPr>
                <w:rFonts w:cstheme="minorHAnsi"/>
                <w:bCs/>
              </w:rPr>
              <w:fldChar w:fldCharType="separate"/>
            </w:r>
            <w:r>
              <w:rPr>
                <w:rFonts w:cstheme="minorHAnsi"/>
                <w:bCs/>
              </w:rPr>
              <w:t>stephanie.newby@southribble.gov.uk</w:t>
            </w:r>
            <w:r>
              <w:rPr>
                <w:rFonts w:cstheme="minorHAnsi"/>
                <w:bCs/>
              </w:rPr>
              <w:fldChar w:fldCharType="end"/>
            </w:r>
          </w:p>
        </w:tc>
        <w:tc>
          <w:tcPr>
            <w:tcW w:w="1560" w:type="dxa"/>
            <w:shd w:val="clear" w:color="auto" w:fill="auto"/>
          </w:tcPr>
          <w:p w:rsidR="00D4431F" w:rsidRPr="00D4431F" w:rsidP="00D4431F">
            <w:pPr>
              <w:spacing w:line="240" w:lineRule="auto"/>
              <w:jc w:val="both"/>
              <w:rPr>
                <w:rFonts w:cstheme="minorHAnsi"/>
                <w:bCs/>
              </w:rPr>
            </w:pPr>
            <w:r w:rsidRPr="00D4431F">
              <w:rPr>
                <w:rFonts w:cstheme="minorHAnsi"/>
                <w:bCs/>
              </w:rPr>
              <w:t>01772 62</w:t>
            </w:r>
            <w:r>
              <w:rPr>
                <w:rFonts w:cstheme="minorHAnsi"/>
                <w:bCs/>
              </w:rPr>
              <w:t>5337</w:t>
            </w:r>
          </w:p>
        </w:tc>
        <w:tc>
          <w:tcPr>
            <w:tcW w:w="1269" w:type="dxa"/>
            <w:shd w:val="clear" w:color="auto" w:fill="auto"/>
          </w:tcPr>
          <w:p w:rsidR="00D4431F" w:rsidRPr="00D4431F" w:rsidP="00D4431F">
            <w:pPr>
              <w:spacing w:line="240" w:lineRule="auto"/>
              <w:jc w:val="both"/>
              <w:rPr>
                <w:rFonts w:cstheme="minorHAnsi"/>
                <w:bCs/>
              </w:rPr>
            </w:pPr>
            <w:r>
              <w:rPr>
                <w:rFonts w:cstheme="minorHAnsi"/>
                <w:bCs/>
              </w:rPr>
              <w:t>15</w:t>
            </w:r>
            <w:r w:rsidRPr="00514C2A">
              <w:rPr>
                <w:rFonts w:cstheme="minorHAnsi"/>
                <w:bCs/>
                <w:vertAlign w:val="superscript"/>
              </w:rPr>
              <w:t>th</w:t>
            </w:r>
            <w:r>
              <w:rPr>
                <w:rFonts w:cstheme="minorHAnsi"/>
                <w:bCs/>
              </w:rPr>
              <w:t xml:space="preserve"> November 2021</w:t>
            </w:r>
          </w:p>
        </w:tc>
      </w:tr>
    </w:tbl>
    <w:p w:rsidR="0025620C" w:rsidRPr="005C459D">
      <w:pPr>
        <w:rPr>
          <w:rFonts w:cstheme="minorHAnsi"/>
          <w:bCs/>
          <w:color w:val="000000" w:themeColor="text1"/>
          <w:lang w:val="en-US"/>
        </w:rPr>
      </w:pPr>
    </w:p>
    <w:sectPr w:rsidSect="00D4431F">
      <w:headerReference w:type="default" r:id="rI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42B2">
    <w:pPr>
      <w:pStyle w:val="Header"/>
    </w:pPr>
  </w:p>
  <w:p w:rsidR="00CF42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D682B4B"/>
    <w:multiLevelType w:val="hybridMultilevel"/>
    <w:tmpl w:val="27D0AF2A"/>
    <w:lvl w:ilvl="0">
      <w:start w:val="1"/>
      <w:numFmt w:val="bullet"/>
      <w:lvlText w:val=""/>
      <w:lvlJc w:val="left"/>
      <w:pPr>
        <w:ind w:left="99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1">
    <w:nsid w:val="3B0324D4"/>
    <w:multiLevelType w:val="hybridMultilevel"/>
    <w:tmpl w:val="0CE2B5E6"/>
    <w:lvl w:ilvl="0">
      <w:start w:val="1"/>
      <w:numFmt w:val="bullet"/>
      <w:lvlText w:val=""/>
      <w:lvlJc w:val="left"/>
      <w:pPr>
        <w:ind w:left="720" w:hanging="360"/>
      </w:pPr>
      <w:rPr>
        <w:rFonts w:ascii="Symbol" w:hAnsi="Symbol" w:hint="default"/>
        <w:color w:val="7FC444"/>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53EC42E2"/>
    <w:multiLevelType w:val="hybridMultilevel"/>
    <w:tmpl w:val="37ECB20A"/>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97811DD"/>
    <w:multiLevelType w:val="hybridMultilevel"/>
    <w:tmpl w:val="FA5C2D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C4D2CDE"/>
    <w:multiLevelType w:val="hybridMultilevel"/>
    <w:tmpl w:val="5B6827D0"/>
    <w:lvl w:ilvl="0">
      <w:start w:val="1"/>
      <w:numFmt w:val="bullet"/>
      <w:lvlText w:val=""/>
      <w:lvlJc w:val="left"/>
      <w:pPr>
        <w:ind w:left="720" w:hanging="360"/>
      </w:pPr>
      <w:rPr>
        <w:rFonts w:ascii="Symbol" w:hAnsi="Symbol" w:hint="default"/>
        <w:color w:val="7FC44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5EBF00E5"/>
    <w:multiLevelType w:val="hybridMultilevel"/>
    <w:tmpl w:val="FD8437DA"/>
    <w:lvl w:ilvl="0">
      <w:start w:val="1"/>
      <w:numFmt w:val="decimal"/>
      <w:lvlText w:val="%1."/>
      <w:lvlJc w:val="left"/>
      <w:pPr>
        <w:ind w:left="360" w:hanging="360"/>
      </w:pPr>
      <w:rPr>
        <w:rFonts w:ascii="Arial" w:hAnsi="Arial" w:hint="default"/>
        <w:b w:val="0"/>
        <w:bCs w:val="0"/>
        <w:i w:val="0"/>
        <w:color w:val="auto"/>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687524EC"/>
    <w:multiLevelType w:val="hybridMultilevel"/>
    <w:tmpl w:val="C83AE318"/>
    <w:lvl w:ilvl="0">
      <w:start w:val="1"/>
      <w:numFmt w:val="bullet"/>
      <w:lvlText w:val=""/>
      <w:lvlJc w:val="left"/>
      <w:pPr>
        <w:ind w:left="720" w:hanging="360"/>
      </w:pPr>
      <w:rPr>
        <w:rFonts w:ascii="Symbol" w:hAnsi="Symbol" w:hint="default"/>
        <w:color w:val="7FC44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6E981066"/>
    <w:multiLevelType w:val="hybridMultilevel"/>
    <w:tmpl w:val="29A03522"/>
    <w:lvl w:ilvl="0">
      <w:start w:val="1"/>
      <w:numFmt w:val="bullet"/>
      <w:lvlText w:val=""/>
      <w:lvlJc w:val="left"/>
      <w:pPr>
        <w:ind w:left="720" w:hanging="360"/>
      </w:pPr>
      <w:rPr>
        <w:rFonts w:ascii="Symbol" w:hAnsi="Symbol" w:hint="default"/>
        <w:color w:val="7FC44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7C6872A1"/>
    <w:multiLevelType w:val="hybridMultilevel"/>
    <w:tmpl w:val="700E460A"/>
    <w:lvl w:ilvl="0">
      <w:start w:val="1"/>
      <w:numFmt w:val="bullet"/>
      <w:lvlText w:val=""/>
      <w:lvlJc w:val="left"/>
      <w:pPr>
        <w:tabs>
          <w:tab w:val="num" w:pos="720"/>
        </w:tabs>
        <w:ind w:left="720" w:hanging="360"/>
      </w:pPr>
      <w:rPr>
        <w:rFonts w:ascii="Symbol" w:hAnsi="Symbol" w:hint="default"/>
        <w:color w:val="000000" w:themeColor="text1"/>
        <w:kern w:val="0"/>
        <w:position w:val="0"/>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7FEF54B2"/>
    <w:multiLevelType w:val="hybridMultilevel"/>
    <w:tmpl w:val="75B62A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6"/>
  </w:num>
  <w:num w:numId="5">
    <w:abstractNumId w:val="2"/>
  </w:num>
  <w:num w:numId="6">
    <w:abstractNumId w:val="0"/>
  </w:num>
  <w:num w:numId="7">
    <w:abstractNumId w:val="1"/>
  </w:num>
  <w:num w:numId="8">
    <w:abstractNumId w:val="5"/>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59D"/>
  </w:style>
  <w:style w:type="paragraph" w:styleId="Heading1">
    <w:name w:val="heading 1"/>
    <w:basedOn w:val="Normal"/>
    <w:link w:val="Heading1Char"/>
    <w:uiPriority w:val="9"/>
    <w:qFormat/>
    <w:rsid w:val="00774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74B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C45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459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C459D"/>
    <w:pPr>
      <w:keepNext/>
      <w:keepLines/>
      <w:spacing w:before="12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semiHidden/>
    <w:unhideWhenUsed/>
    <w:qFormat/>
    <w:rsid w:val="005C459D"/>
    <w:pPr>
      <w:keepNext/>
      <w:keepLines/>
      <w:spacing w:before="40" w:after="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rsid w:val="005C459D"/>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5C459D"/>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BC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4BC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first">
    <w:name w:val="standfirst"/>
    <w:basedOn w:val="Normal"/>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74BC4"/>
    <w:rPr>
      <w:b/>
      <w:bCs/>
    </w:rPr>
  </w:style>
  <w:style w:type="paragraph" w:styleId="BalloonText">
    <w:name w:val="Balloon Text"/>
    <w:basedOn w:val="Normal"/>
    <w:link w:val="BalloonTextChar"/>
    <w:uiPriority w:val="99"/>
    <w:semiHidden/>
    <w:unhideWhenUsed/>
    <w:rsid w:val="00FB2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2E"/>
    <w:rPr>
      <w:rFonts w:ascii="Tahoma" w:hAnsi="Tahoma" w:cs="Tahoma"/>
      <w:sz w:val="16"/>
      <w:szCs w:val="16"/>
    </w:rPr>
  </w:style>
  <w:style w:type="table" w:styleId="TableGrid">
    <w:name w:val="Table Grid"/>
    <w:basedOn w:val="TableNormal"/>
    <w:uiPriority w:val="59"/>
    <w:rsid w:val="00BC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A0164F"/>
    <w:pPr>
      <w:spacing w:after="0" w:line="360" w:lineRule="auto"/>
    </w:pPr>
    <w:rPr>
      <w:rFonts w:ascii="Arial" w:eastAsia="Times New Roman" w:hAnsi="Arial" w:cs="Arial"/>
      <w:szCs w:val="24"/>
    </w:rPr>
  </w:style>
  <w:style w:type="character" w:customStyle="1" w:styleId="BodyTextChar">
    <w:name w:val="Body Text Char"/>
    <w:basedOn w:val="DefaultParagraphFont"/>
    <w:link w:val="BodyText"/>
    <w:semiHidden/>
    <w:rsid w:val="00A0164F"/>
    <w:rPr>
      <w:rFonts w:ascii="Arial" w:eastAsia="Times New Roman" w:hAnsi="Arial" w:cs="Arial"/>
      <w:szCs w:val="24"/>
    </w:rPr>
  </w:style>
  <w:style w:type="paragraph" w:styleId="Header">
    <w:name w:val="header"/>
    <w:basedOn w:val="Normal"/>
    <w:link w:val="HeaderChar"/>
    <w:uiPriority w:val="99"/>
    <w:unhideWhenUsed/>
    <w:rsid w:val="003E3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B0"/>
  </w:style>
  <w:style w:type="paragraph" w:styleId="Footer">
    <w:name w:val="footer"/>
    <w:basedOn w:val="Normal"/>
    <w:link w:val="FooterChar"/>
    <w:uiPriority w:val="99"/>
    <w:unhideWhenUsed/>
    <w:rsid w:val="003E3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AB0"/>
  </w:style>
  <w:style w:type="paragraph" w:styleId="ListParagraph">
    <w:name w:val="List Paragraph"/>
    <w:basedOn w:val="Normal"/>
    <w:uiPriority w:val="34"/>
    <w:qFormat/>
    <w:rsid w:val="007E4749"/>
    <w:pPr>
      <w:spacing w:after="160" w:line="259" w:lineRule="auto"/>
      <w:ind w:left="720"/>
      <w:contextualSpacing/>
    </w:pPr>
  </w:style>
  <w:style w:type="paragraph" w:customStyle="1" w:styleId="Style1">
    <w:name w:val="Style1"/>
    <w:basedOn w:val="Normal"/>
    <w:qFormat/>
    <w:rsid w:val="005C459D"/>
    <w:pPr>
      <w:spacing w:line="240" w:lineRule="auto"/>
      <w:jc w:val="both"/>
    </w:pPr>
    <w:rPr>
      <w:rFonts w:cstheme="minorHAnsi"/>
      <w:b/>
      <w:bCs/>
    </w:rPr>
  </w:style>
  <w:style w:type="character" w:customStyle="1" w:styleId="Heading3Char">
    <w:name w:val="Heading 3 Char"/>
    <w:basedOn w:val="DefaultParagraphFont"/>
    <w:link w:val="Heading3"/>
    <w:uiPriority w:val="9"/>
    <w:rsid w:val="005C45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459D"/>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5C459D"/>
    <w:rPr>
      <w:rFonts w:asciiTheme="majorHAnsi" w:eastAsiaTheme="majorEastAsia" w:hAnsiTheme="majorHAnsi" w:cstheme="majorBidi"/>
      <w:b/>
    </w:rPr>
  </w:style>
  <w:style w:type="character" w:customStyle="1" w:styleId="Heading7Char">
    <w:name w:val="Heading 7 Char"/>
    <w:basedOn w:val="DefaultParagraphFont"/>
    <w:link w:val="Heading7"/>
    <w:uiPriority w:val="9"/>
    <w:semiHidden/>
    <w:rsid w:val="005C459D"/>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sid w:val="005C459D"/>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5C459D"/>
    <w:rPr>
      <w:rFonts w:asciiTheme="majorHAnsi" w:eastAsiaTheme="majorEastAsia" w:hAnsiTheme="majorHAnsi" w:cstheme="majorBidi"/>
      <w:b/>
      <w:iCs/>
      <w:color w:val="272727" w:themeColor="text1" w:themeTint="D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image" Target="media/image3.jpeg" /><Relationship Id="rId8" Type="http://schemas.openxmlformats.org/officeDocument/2006/relationships/header" Target="header1.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44FB3F0-16CB-4E9D-BD30-CF281F76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GX0620</dc:creator>
  <cp:lastModifiedBy>Stephanie Newby</cp:lastModifiedBy>
  <cp:revision>18</cp:revision>
  <cp:lastPrinted>2014-03-21T13:56:00Z</cp:lastPrinted>
  <dcterms:created xsi:type="dcterms:W3CDTF">2021-11-15T14:38:00Z</dcterms:created>
  <dcterms:modified xsi:type="dcterms:W3CDTF">2021-12-06T11:51:00Z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Licensing and Public Safety Committee</vt:lpwstr>
  </property>
  <property fmtid="{D5CDD505-2E9C-101B-9397-08002B2CF9AE}" pid="3" name="IssueTitle">
    <vt:lpwstr>Gambling Policy</vt:lpwstr>
  </property>
  <property fmtid="{D5CDD505-2E9C-101B-9397-08002B2CF9AE}" pid="4" name="LeadDirector">
    <vt:lpwstr/>
  </property>
  <property fmtid="{D5CDD505-2E9C-101B-9397-08002B2CF9AE}" pid="5" name="LeadMember">
    <vt:lpwstr/>
  </property>
  <property fmtid="{D5CDD505-2E9C-101B-9397-08002B2CF9AE}" pid="6" name="LeadOfficer">
    <vt:lpwstr>Stephanie Newby</vt:lpwstr>
  </property>
  <property fmtid="{D5CDD505-2E9C-101B-9397-08002B2CF9AE}" pid="7" name="LeadOfficerEmail">
    <vt:lpwstr>stephanie.newby@southribble.gov.uk</vt:lpwstr>
  </property>
  <property fmtid="{D5CDD505-2E9C-101B-9397-08002B2CF9AE}" pid="8" name="LeadOfficerPost">
    <vt:lpwstr>Licensing Officer</vt:lpwstr>
  </property>
  <property fmtid="{D5CDD505-2E9C-101B-9397-08002B2CF9AE}" pid="9" name="MeetingDate">
    <vt:lpwstr>Tuesday, 7 December 2021</vt:lpwstr>
  </property>
  <property fmtid="{D5CDD505-2E9C-101B-9397-08002B2CF9AE}" pid="10" name="MeetingDateLegal">
    <vt:lpwstr>MeetingDateLegal</vt:lpwstr>
  </property>
</Properties>
</file>